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4811" w14:textId="5C123667" w:rsidR="003C28EC" w:rsidRPr="00783104" w:rsidRDefault="00CB15F9" w:rsidP="00672314">
      <w:pPr>
        <w:spacing w:before="0" w:line="240" w:lineRule="auto"/>
        <w:rPr>
          <w:rFonts w:ascii="Book Antiqua" w:hAnsi="Book Antiqua"/>
          <w:b/>
          <w:bCs/>
          <w:color w:val="C0504D" w:themeColor="accent2"/>
          <w:sz w:val="28"/>
          <w:szCs w:val="28"/>
          <w:lang w:val="en-ID"/>
        </w:rPr>
      </w:pPr>
      <w:r w:rsidRPr="00CB15F9">
        <w:rPr>
          <w:rFonts w:ascii="Book Antiqua" w:hAnsi="Book Antiqua"/>
          <w:b/>
          <w:bCs/>
          <w:color w:val="C0504D" w:themeColor="accent2"/>
          <w:sz w:val="28"/>
          <w:szCs w:val="28"/>
          <w:lang w:val="en-ID"/>
        </w:rPr>
        <w:t>Perlindungan Hukum terhadap Dokter dalam Pengawasan Pelayanan Kesehatan oleh Lembaga Swadaya Masyarakat (LSM) di RSUD Dr. H. Ibnu Sutowo Baturaja</w:t>
      </w:r>
    </w:p>
    <w:p w14:paraId="7F238625" w14:textId="77777777" w:rsidR="00672314" w:rsidRPr="005F2CCD" w:rsidRDefault="00672314" w:rsidP="00672314">
      <w:pPr>
        <w:spacing w:before="0" w:line="240" w:lineRule="auto"/>
        <w:rPr>
          <w:rFonts w:ascii="Book Antiqua" w:hAnsi="Book Antiqua"/>
          <w:b/>
          <w:sz w:val="22"/>
          <w:szCs w:val="22"/>
        </w:rPr>
      </w:pPr>
    </w:p>
    <w:p w14:paraId="10DE2EB5" w14:textId="244E19D0" w:rsidR="00783104" w:rsidRPr="00FA68F8" w:rsidRDefault="00CB15F9" w:rsidP="005B214A">
      <w:pPr>
        <w:shd w:val="clear" w:color="auto" w:fill="FFFFFF" w:themeFill="background1"/>
        <w:spacing w:before="0" w:line="240" w:lineRule="auto"/>
        <w:ind w:right="-2"/>
        <w:rPr>
          <w:rFonts w:ascii="Book Antiqua" w:eastAsia="Book Antiqua" w:hAnsi="Book Antiqua" w:cs="Book Antiqua"/>
          <w:b/>
          <w:color w:val="000000"/>
          <w:sz w:val="22"/>
          <w:szCs w:val="22"/>
          <w:vertAlign w:val="superscript"/>
        </w:rPr>
      </w:pPr>
      <w:bookmarkStart w:id="0" w:name="_heading=h.gjdgxs" w:colFirst="0" w:colLast="0"/>
      <w:bookmarkEnd w:id="0"/>
      <w:r w:rsidRPr="00CB15F9">
        <w:rPr>
          <w:rFonts w:ascii="Book Antiqua" w:eastAsia="Book Antiqua" w:hAnsi="Book Antiqua" w:cs="Book Antiqua"/>
          <w:b/>
          <w:color w:val="000000"/>
          <w:sz w:val="22"/>
          <w:szCs w:val="22"/>
        </w:rPr>
        <w:t>Miliyandra</w:t>
      </w:r>
      <w:r w:rsidR="00783104" w:rsidRPr="00FA68F8">
        <w:rPr>
          <w:rFonts w:ascii="Book Antiqua" w:eastAsia="Book Antiqua" w:hAnsi="Book Antiqua" w:cs="Book Antiqua"/>
          <w:b/>
          <w:color w:val="000000"/>
          <w:sz w:val="22"/>
          <w:szCs w:val="22"/>
          <w:vertAlign w:val="superscript"/>
        </w:rPr>
        <w:t>1*</w:t>
      </w:r>
      <w:r w:rsidR="00783104" w:rsidRPr="00FA68F8">
        <w:rPr>
          <w:rFonts w:ascii="Book Antiqua" w:eastAsia="Book Antiqua" w:hAnsi="Book Antiqua" w:cs="Book Antiqua"/>
          <w:b/>
          <w:color w:val="000000"/>
          <w:sz w:val="22"/>
          <w:szCs w:val="22"/>
        </w:rPr>
        <w:t xml:space="preserve">, </w:t>
      </w:r>
      <w:r w:rsidRPr="00CB15F9">
        <w:rPr>
          <w:rFonts w:ascii="Book Antiqua" w:hAnsi="Book Antiqua"/>
          <w:b/>
          <w:sz w:val="22"/>
          <w:szCs w:val="22"/>
        </w:rPr>
        <w:t>Hana Krisnamurti</w:t>
      </w:r>
      <w:r w:rsidR="0082244A" w:rsidRPr="00FA68F8">
        <w:rPr>
          <w:rFonts w:ascii="Book Antiqua" w:eastAsia="Book Antiqua" w:hAnsi="Book Antiqua" w:cs="Book Antiqua"/>
          <w:b/>
          <w:color w:val="000000"/>
          <w:sz w:val="22"/>
          <w:szCs w:val="22"/>
          <w:vertAlign w:val="superscript"/>
        </w:rPr>
        <w:t>2</w:t>
      </w:r>
      <w:r w:rsidR="00783104" w:rsidRPr="00FA68F8">
        <w:rPr>
          <w:rFonts w:ascii="Book Antiqua" w:eastAsia="Book Antiqua" w:hAnsi="Book Antiqua" w:cs="Book Antiqua"/>
          <w:b/>
          <w:color w:val="000000"/>
          <w:sz w:val="22"/>
          <w:szCs w:val="22"/>
        </w:rPr>
        <w:t xml:space="preserve">, </w:t>
      </w:r>
      <w:r w:rsidRPr="00CB15F9">
        <w:rPr>
          <w:rFonts w:ascii="Book Antiqua" w:hAnsi="Book Antiqua"/>
          <w:b/>
          <w:sz w:val="22"/>
          <w:szCs w:val="22"/>
        </w:rPr>
        <w:t>Dani Durahman</w:t>
      </w:r>
      <w:r w:rsidR="00783104" w:rsidRPr="00FA68F8">
        <w:rPr>
          <w:rFonts w:ascii="Book Antiqua" w:eastAsia="Book Antiqua" w:hAnsi="Book Antiqua" w:cs="Book Antiqua"/>
          <w:b/>
          <w:color w:val="000000"/>
          <w:sz w:val="22"/>
          <w:szCs w:val="22"/>
          <w:vertAlign w:val="superscript"/>
        </w:rPr>
        <w:t>3</w:t>
      </w:r>
    </w:p>
    <w:p w14:paraId="36B29392" w14:textId="77777777" w:rsidR="00144A51" w:rsidRDefault="009C358F" w:rsidP="005B214A">
      <w:pPr>
        <w:shd w:val="clear" w:color="auto" w:fill="FFFFFF" w:themeFill="background1"/>
        <w:spacing w:before="0" w:line="240" w:lineRule="auto"/>
        <w:ind w:right="-2"/>
        <w:rPr>
          <w:rFonts w:ascii="Book Antiqua" w:hAnsi="Book Antiqua"/>
          <w:color w:val="000000" w:themeColor="text1"/>
          <w:sz w:val="20"/>
          <w:szCs w:val="20"/>
        </w:rPr>
      </w:pPr>
      <w:r>
        <w:rPr>
          <w:rFonts w:ascii="Book Antiqua" w:hAnsi="Book Antiqua"/>
          <w:color w:val="000000" w:themeColor="text1"/>
          <w:sz w:val="20"/>
          <w:szCs w:val="20"/>
          <w:vertAlign w:val="superscript"/>
        </w:rPr>
        <w:t>1,</w:t>
      </w:r>
      <w:r w:rsidR="004A33CA">
        <w:rPr>
          <w:rFonts w:ascii="Book Antiqua" w:hAnsi="Book Antiqua"/>
          <w:color w:val="000000" w:themeColor="text1"/>
          <w:sz w:val="20"/>
          <w:szCs w:val="20"/>
          <w:vertAlign w:val="superscript"/>
        </w:rPr>
        <w:t>2,</w:t>
      </w:r>
      <w:r w:rsidR="00144A51" w:rsidRPr="005F2CCD">
        <w:rPr>
          <w:rFonts w:ascii="Book Antiqua" w:hAnsi="Book Antiqua"/>
          <w:color w:val="000000" w:themeColor="text1"/>
          <w:sz w:val="20"/>
          <w:szCs w:val="20"/>
          <w:vertAlign w:val="superscript"/>
        </w:rPr>
        <w:t>3</w:t>
      </w:r>
      <w:r w:rsidR="00712662">
        <w:rPr>
          <w:rFonts w:ascii="Book Antiqua" w:hAnsi="Book Antiqua"/>
          <w:color w:val="000000" w:themeColor="text1"/>
          <w:sz w:val="20"/>
          <w:szCs w:val="20"/>
        </w:rPr>
        <w:t>Pascasarjana</w:t>
      </w:r>
      <w:r w:rsidR="00672314" w:rsidRPr="005F2CCD">
        <w:rPr>
          <w:rFonts w:ascii="Book Antiqua" w:hAnsi="Book Antiqua"/>
          <w:color w:val="000000" w:themeColor="text1"/>
          <w:sz w:val="20"/>
          <w:szCs w:val="20"/>
        </w:rPr>
        <w:t>, Universitas Langlangbuana</w:t>
      </w:r>
      <w:r w:rsidR="00144A51" w:rsidRPr="005F2CCD">
        <w:rPr>
          <w:rFonts w:ascii="Book Antiqua" w:hAnsi="Book Antiqua"/>
          <w:color w:val="000000" w:themeColor="text1"/>
          <w:sz w:val="20"/>
          <w:szCs w:val="20"/>
        </w:rPr>
        <w:t>, Bandung, Indonesia</w:t>
      </w:r>
    </w:p>
    <w:p w14:paraId="7BD41C41" w14:textId="0ACF8311" w:rsidR="002E09DD" w:rsidRPr="00712662" w:rsidRDefault="00E97C35" w:rsidP="005B214A">
      <w:pPr>
        <w:shd w:val="clear" w:color="auto" w:fill="FFFFFF" w:themeFill="background1"/>
        <w:spacing w:before="0" w:line="240" w:lineRule="auto"/>
        <w:ind w:right="-2"/>
        <w:rPr>
          <w:rFonts w:ascii="Book Antiqua" w:hAnsi="Book Antiqua"/>
          <w:color w:val="000000" w:themeColor="text1"/>
          <w:sz w:val="20"/>
          <w:szCs w:val="20"/>
        </w:rPr>
      </w:pPr>
      <w:r w:rsidRPr="005F2CCD">
        <w:rPr>
          <w:rFonts w:ascii="Book Antiqua" w:hAnsi="Book Antiqua"/>
          <w:color w:val="000000" w:themeColor="text1"/>
          <w:sz w:val="20"/>
          <w:szCs w:val="20"/>
        </w:rPr>
        <w:t>e-mail</w:t>
      </w:r>
      <w:r w:rsidR="00B472FE" w:rsidRPr="005F2CCD">
        <w:rPr>
          <w:rFonts w:ascii="Book Antiqua" w:hAnsi="Book Antiqua"/>
          <w:color w:val="000000" w:themeColor="text1"/>
          <w:sz w:val="20"/>
          <w:szCs w:val="20"/>
        </w:rPr>
        <w:t>:</w:t>
      </w:r>
      <w:r w:rsidR="009516E6" w:rsidRPr="005F2CCD">
        <w:rPr>
          <w:rFonts w:ascii="Book Antiqua" w:hAnsi="Book Antiqua"/>
          <w:color w:val="000000" w:themeColor="text1"/>
          <w:sz w:val="20"/>
          <w:szCs w:val="20"/>
        </w:rPr>
        <w:t xml:space="preserve"> </w:t>
      </w:r>
      <w:r w:rsidR="004A33CA">
        <w:rPr>
          <w:rFonts w:ascii="Book Antiqua" w:hAnsi="Book Antiqua"/>
          <w:color w:val="000000" w:themeColor="text1"/>
          <w:sz w:val="20"/>
          <w:szCs w:val="20"/>
        </w:rPr>
        <w:t>*</w:t>
      </w:r>
      <w:r w:rsidR="00CB15F9" w:rsidRPr="00CB15F9">
        <w:rPr>
          <w:rFonts w:ascii="Book Antiqua" w:hAnsi="Book Antiqua"/>
          <w:color w:val="000000" w:themeColor="text1"/>
          <w:sz w:val="20"/>
          <w:szCs w:val="20"/>
        </w:rPr>
        <w:t>miliyandra116@gmail.com</w:t>
      </w:r>
    </w:p>
    <w:p w14:paraId="134CF01D" w14:textId="77777777" w:rsidR="003C28EC" w:rsidRPr="005F2CCD" w:rsidRDefault="003C28EC" w:rsidP="00D80E8C">
      <w:pPr>
        <w:pBdr>
          <w:top w:val="nil"/>
          <w:left w:val="nil"/>
          <w:bottom w:val="single" w:sz="4" w:space="0" w:color="000000"/>
          <w:right w:val="nil"/>
          <w:between w:val="nil"/>
        </w:pBdr>
        <w:spacing w:before="0" w:line="240" w:lineRule="auto"/>
        <w:ind w:right="-2"/>
        <w:jc w:val="left"/>
        <w:rPr>
          <w:rFonts w:ascii="Book Antiqua" w:eastAsia="Cambria" w:hAnsi="Book Antiqua"/>
          <w:i/>
          <w:color w:val="000000"/>
          <w:sz w:val="18"/>
          <w:szCs w:val="18"/>
        </w:rPr>
      </w:pPr>
    </w:p>
    <w:p w14:paraId="09A43DD0" w14:textId="77777777" w:rsidR="003C28EC" w:rsidRPr="005F2CCD" w:rsidRDefault="00984BA5">
      <w:pPr>
        <w:pBdr>
          <w:bottom w:val="single" w:sz="4" w:space="1" w:color="000000"/>
        </w:pBdr>
        <w:rPr>
          <w:rFonts w:ascii="Book Antiqua" w:eastAsia="Cambria" w:hAnsi="Book Antiqua" w:cs="Cambria"/>
          <w:b/>
          <w:sz w:val="18"/>
          <w:szCs w:val="18"/>
        </w:rPr>
      </w:pPr>
      <w:r w:rsidRPr="005F2CCD">
        <w:rPr>
          <w:rFonts w:ascii="Book Antiqua" w:hAnsi="Book Antiqua"/>
          <w:noProof/>
        </w:rPr>
        <mc:AlternateContent>
          <mc:Choice Requires="wps">
            <w:drawing>
              <wp:anchor distT="45720" distB="45720" distL="114300" distR="114300" simplePos="0" relativeHeight="251659264" behindDoc="0" locked="0" layoutInCell="1" hidden="0" allowOverlap="1" wp14:anchorId="57DC054E" wp14:editId="2EC45AA7">
                <wp:simplePos x="0" y="0"/>
                <wp:positionH relativeFrom="column">
                  <wp:posOffset>8255</wp:posOffset>
                </wp:positionH>
                <wp:positionV relativeFrom="paragraph">
                  <wp:posOffset>128905</wp:posOffset>
                </wp:positionV>
                <wp:extent cx="1856740" cy="2408555"/>
                <wp:effectExtent l="0" t="0" r="0" b="4445"/>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0" y="0"/>
                          <a:ext cx="1856740" cy="2408555"/>
                        </a:xfrm>
                        <a:prstGeom prst="rect">
                          <a:avLst/>
                        </a:prstGeom>
                        <a:solidFill>
                          <a:srgbClr val="FFFFFF"/>
                        </a:solidFill>
                        <a:ln>
                          <a:noFill/>
                        </a:ln>
                      </wps:spPr>
                      <wps:txbx>
                        <w:txbxContent>
                          <w:p w14:paraId="75831CFC" w14:textId="77777777" w:rsidR="00984BA5" w:rsidRPr="00E40F89" w:rsidRDefault="00000000" w:rsidP="00984BA5">
                            <w:pPr>
                              <w:pBdr>
                                <w:bottom w:val="single" w:sz="4" w:space="1" w:color="auto"/>
                              </w:pBdr>
                              <w:spacing w:before="0" w:line="240" w:lineRule="auto"/>
                              <w:rPr>
                                <w:b/>
                                <w:bCs/>
                                <w:sz w:val="18"/>
                                <w:szCs w:val="18"/>
                              </w:rPr>
                            </w:pPr>
                            <w:r>
                              <w:rPr>
                                <w:b/>
                                <w:color w:val="000000"/>
                                <w:sz w:val="18"/>
                              </w:rPr>
                              <w:t xml:space="preserve">A </w:t>
                            </w:r>
                            <w:r w:rsidR="00984BA5" w:rsidRPr="00E40F89">
                              <w:rPr>
                                <w:b/>
                                <w:bCs/>
                                <w:sz w:val="18"/>
                                <w:szCs w:val="18"/>
                              </w:rPr>
                              <w:t xml:space="preserve">R T I C L E </w:t>
                            </w:r>
                            <w:r w:rsidR="00984BA5">
                              <w:rPr>
                                <w:b/>
                                <w:bCs/>
                                <w:sz w:val="18"/>
                                <w:szCs w:val="18"/>
                              </w:rPr>
                              <w:t xml:space="preserve">  </w:t>
                            </w:r>
                            <w:r w:rsidR="00984BA5" w:rsidRPr="00E40F89">
                              <w:rPr>
                                <w:b/>
                                <w:bCs/>
                                <w:sz w:val="18"/>
                                <w:szCs w:val="18"/>
                              </w:rPr>
                              <w:t>I N F O</w:t>
                            </w:r>
                          </w:p>
                          <w:p w14:paraId="41FBD30D" w14:textId="77777777" w:rsidR="00984BA5" w:rsidRPr="004E2F4B" w:rsidRDefault="00984BA5" w:rsidP="00984BA5">
                            <w:pPr>
                              <w:spacing w:before="0" w:line="240" w:lineRule="auto"/>
                              <w:rPr>
                                <w:b/>
                                <w:i/>
                                <w:sz w:val="12"/>
                                <w:szCs w:val="14"/>
                              </w:rPr>
                            </w:pPr>
                          </w:p>
                          <w:p w14:paraId="74DC7BF3" w14:textId="77777777" w:rsidR="00984BA5" w:rsidRPr="00E739B0" w:rsidRDefault="00984BA5" w:rsidP="00984BA5">
                            <w:pPr>
                              <w:spacing w:before="0" w:line="240" w:lineRule="auto"/>
                              <w:rPr>
                                <w:b/>
                                <w:i/>
                                <w:sz w:val="16"/>
                                <w:szCs w:val="18"/>
                              </w:rPr>
                            </w:pPr>
                            <w:r w:rsidRPr="00E739B0">
                              <w:rPr>
                                <w:b/>
                                <w:i/>
                                <w:sz w:val="16"/>
                                <w:szCs w:val="18"/>
                              </w:rPr>
                              <w:t>Article history:</w:t>
                            </w:r>
                          </w:p>
                          <w:p w14:paraId="498C1E80" w14:textId="77777777" w:rsidR="00984BA5" w:rsidRPr="00DF462A" w:rsidRDefault="00984BA5" w:rsidP="00984BA5">
                            <w:pPr>
                              <w:pBdr>
                                <w:bottom w:val="single" w:sz="8" w:space="1" w:color="auto"/>
                              </w:pBdr>
                              <w:spacing w:before="0" w:line="240" w:lineRule="auto"/>
                              <w:rPr>
                                <w:sz w:val="16"/>
                                <w:szCs w:val="18"/>
                              </w:rPr>
                            </w:pPr>
                            <w:r w:rsidRPr="00DF462A">
                              <w:rPr>
                                <w:sz w:val="16"/>
                                <w:szCs w:val="18"/>
                              </w:rPr>
                              <w:t xml:space="preserve">Received </w:t>
                            </w:r>
                            <w:r w:rsidR="00595E9E">
                              <w:rPr>
                                <w:sz w:val="16"/>
                                <w:szCs w:val="18"/>
                              </w:rPr>
                              <w:t>July</w:t>
                            </w:r>
                            <w:r w:rsidRPr="00DF462A">
                              <w:rPr>
                                <w:sz w:val="16"/>
                                <w:szCs w:val="18"/>
                              </w:rPr>
                              <w:t>, 202</w:t>
                            </w:r>
                            <w:r w:rsidR="00595E9E">
                              <w:rPr>
                                <w:sz w:val="16"/>
                                <w:szCs w:val="18"/>
                              </w:rPr>
                              <w:t>5</w:t>
                            </w:r>
                          </w:p>
                          <w:p w14:paraId="1F7AECD8" w14:textId="77777777" w:rsidR="00984BA5" w:rsidRPr="00DF462A" w:rsidRDefault="00984BA5" w:rsidP="00984BA5">
                            <w:pPr>
                              <w:pBdr>
                                <w:bottom w:val="single" w:sz="8" w:space="1" w:color="auto"/>
                              </w:pBdr>
                              <w:spacing w:before="0" w:line="240" w:lineRule="auto"/>
                              <w:rPr>
                                <w:sz w:val="16"/>
                                <w:szCs w:val="18"/>
                              </w:rPr>
                            </w:pPr>
                            <w:r w:rsidRPr="00DF462A">
                              <w:rPr>
                                <w:sz w:val="16"/>
                                <w:szCs w:val="18"/>
                              </w:rPr>
                              <w:t xml:space="preserve">Revised </w:t>
                            </w:r>
                            <w:r w:rsidR="00595E9E">
                              <w:rPr>
                                <w:sz w:val="16"/>
                                <w:szCs w:val="18"/>
                              </w:rPr>
                              <w:t>July</w:t>
                            </w:r>
                            <w:r w:rsidR="00595E9E" w:rsidRPr="00DF462A">
                              <w:rPr>
                                <w:sz w:val="16"/>
                                <w:szCs w:val="18"/>
                              </w:rPr>
                              <w:t>, 202</w:t>
                            </w:r>
                            <w:r w:rsidR="00595E9E">
                              <w:rPr>
                                <w:sz w:val="16"/>
                                <w:szCs w:val="18"/>
                              </w:rPr>
                              <w:t>5</w:t>
                            </w:r>
                          </w:p>
                          <w:p w14:paraId="49DCD3DD" w14:textId="77777777" w:rsidR="00984BA5" w:rsidRPr="00DF462A" w:rsidRDefault="00984BA5" w:rsidP="00984BA5">
                            <w:pPr>
                              <w:pBdr>
                                <w:bottom w:val="single" w:sz="8" w:space="1" w:color="auto"/>
                              </w:pBdr>
                              <w:spacing w:before="0" w:line="240" w:lineRule="auto"/>
                              <w:rPr>
                                <w:sz w:val="16"/>
                                <w:szCs w:val="18"/>
                              </w:rPr>
                            </w:pPr>
                            <w:r w:rsidRPr="00DF462A">
                              <w:rPr>
                                <w:sz w:val="16"/>
                                <w:szCs w:val="18"/>
                              </w:rPr>
                              <w:t>Accepted</w:t>
                            </w:r>
                            <w:r>
                              <w:rPr>
                                <w:sz w:val="16"/>
                                <w:szCs w:val="18"/>
                              </w:rPr>
                              <w:t xml:space="preserve"> </w:t>
                            </w:r>
                            <w:r w:rsidR="00595E9E">
                              <w:rPr>
                                <w:sz w:val="16"/>
                                <w:szCs w:val="18"/>
                              </w:rPr>
                              <w:t>July</w:t>
                            </w:r>
                            <w:r w:rsidR="00595E9E" w:rsidRPr="00DF462A">
                              <w:rPr>
                                <w:sz w:val="16"/>
                                <w:szCs w:val="18"/>
                              </w:rPr>
                              <w:t>, 202</w:t>
                            </w:r>
                            <w:r w:rsidR="00595E9E">
                              <w:rPr>
                                <w:sz w:val="16"/>
                                <w:szCs w:val="18"/>
                              </w:rPr>
                              <w:t>5</w:t>
                            </w:r>
                          </w:p>
                          <w:p w14:paraId="37B8A45F" w14:textId="77777777" w:rsidR="00984BA5" w:rsidRPr="005F0262" w:rsidRDefault="00984BA5" w:rsidP="00984BA5">
                            <w:pPr>
                              <w:pBdr>
                                <w:bottom w:val="single" w:sz="8" w:space="1" w:color="auto"/>
                              </w:pBdr>
                              <w:spacing w:before="0" w:line="240" w:lineRule="auto"/>
                              <w:rPr>
                                <w:sz w:val="16"/>
                                <w:szCs w:val="18"/>
                              </w:rPr>
                            </w:pPr>
                            <w:r w:rsidRPr="00DF462A">
                              <w:rPr>
                                <w:sz w:val="16"/>
                                <w:szCs w:val="18"/>
                              </w:rPr>
                              <w:t xml:space="preserve">Available online </w:t>
                            </w:r>
                            <w:r w:rsidR="00595E9E">
                              <w:rPr>
                                <w:sz w:val="16"/>
                                <w:szCs w:val="18"/>
                              </w:rPr>
                              <w:t>July</w:t>
                            </w:r>
                            <w:r w:rsidR="00595E9E" w:rsidRPr="00DF462A">
                              <w:rPr>
                                <w:sz w:val="16"/>
                                <w:szCs w:val="18"/>
                              </w:rPr>
                              <w:t>, 202</w:t>
                            </w:r>
                            <w:r w:rsidR="00595E9E">
                              <w:rPr>
                                <w:sz w:val="16"/>
                                <w:szCs w:val="18"/>
                              </w:rPr>
                              <w:t>5</w:t>
                            </w:r>
                          </w:p>
                          <w:p w14:paraId="4186973F" w14:textId="77777777" w:rsidR="00984BA5" w:rsidRPr="004E2F4B" w:rsidRDefault="00984BA5" w:rsidP="00984BA5">
                            <w:pPr>
                              <w:pBdr>
                                <w:bottom w:val="single" w:sz="8" w:space="1" w:color="auto"/>
                              </w:pBdr>
                              <w:spacing w:before="0" w:line="240" w:lineRule="auto"/>
                              <w:rPr>
                                <w:b/>
                                <w:sz w:val="12"/>
                                <w:szCs w:val="12"/>
                              </w:rPr>
                            </w:pPr>
                          </w:p>
                          <w:p w14:paraId="63651158" w14:textId="77777777" w:rsidR="00984BA5" w:rsidRPr="004E2F4B" w:rsidRDefault="00984BA5" w:rsidP="00984BA5">
                            <w:pPr>
                              <w:spacing w:before="0" w:line="240" w:lineRule="auto"/>
                              <w:rPr>
                                <w:b/>
                                <w:i/>
                                <w:sz w:val="12"/>
                                <w:szCs w:val="12"/>
                              </w:rPr>
                            </w:pPr>
                          </w:p>
                          <w:p w14:paraId="3757456B" w14:textId="77777777" w:rsidR="00984BA5" w:rsidRPr="009C358F" w:rsidRDefault="00984BA5" w:rsidP="00984BA5">
                            <w:pPr>
                              <w:spacing w:before="0" w:line="240" w:lineRule="auto"/>
                              <w:rPr>
                                <w:b/>
                                <w:iCs/>
                                <w:sz w:val="16"/>
                                <w:szCs w:val="16"/>
                              </w:rPr>
                            </w:pPr>
                            <w:r w:rsidRPr="009C358F">
                              <w:rPr>
                                <w:b/>
                                <w:iCs/>
                                <w:sz w:val="16"/>
                                <w:szCs w:val="16"/>
                              </w:rPr>
                              <w:t>Kata Kunci:</w:t>
                            </w:r>
                          </w:p>
                          <w:p w14:paraId="4C018A31" w14:textId="0DC8D9A3" w:rsidR="000B64CD" w:rsidRDefault="00CB15F9" w:rsidP="00984BA5">
                            <w:pPr>
                              <w:spacing w:before="0" w:line="240" w:lineRule="auto"/>
                              <w:rPr>
                                <w:iCs/>
                                <w:color w:val="000000"/>
                                <w:sz w:val="16"/>
                                <w:szCs w:val="16"/>
                                <w:lang w:val="en-US"/>
                              </w:rPr>
                            </w:pPr>
                            <w:r w:rsidRPr="00CB15F9">
                              <w:rPr>
                                <w:iCs/>
                                <w:color w:val="000000"/>
                                <w:sz w:val="16"/>
                                <w:szCs w:val="16"/>
                                <w:lang w:val="en-US"/>
                              </w:rPr>
                              <w:t>Perlindungan Hukum, Dokter, Pelayanan Kesehatan, Lembaga Swadaya Masyarakat</w:t>
                            </w:r>
                          </w:p>
                          <w:p w14:paraId="7DDAE6FE" w14:textId="77777777" w:rsidR="00CB15F9" w:rsidRPr="009C358F" w:rsidRDefault="00CB15F9" w:rsidP="00984BA5">
                            <w:pPr>
                              <w:spacing w:before="0" w:line="240" w:lineRule="auto"/>
                              <w:rPr>
                                <w:iCs/>
                                <w:color w:val="000000"/>
                                <w:sz w:val="13"/>
                                <w:szCs w:val="13"/>
                                <w:lang w:val="en-US"/>
                              </w:rPr>
                            </w:pPr>
                          </w:p>
                          <w:p w14:paraId="71711D2E" w14:textId="77777777" w:rsidR="00984BA5" w:rsidRPr="009C358F" w:rsidRDefault="00984BA5" w:rsidP="00984BA5">
                            <w:pPr>
                              <w:spacing w:before="0" w:line="240" w:lineRule="auto"/>
                              <w:rPr>
                                <w:b/>
                                <w:i/>
                                <w:color w:val="000000" w:themeColor="text1"/>
                                <w:sz w:val="16"/>
                                <w:szCs w:val="16"/>
                                <w:lang w:val="id-ID"/>
                              </w:rPr>
                            </w:pPr>
                            <w:r w:rsidRPr="009C358F">
                              <w:rPr>
                                <w:b/>
                                <w:i/>
                                <w:color w:val="000000" w:themeColor="text1"/>
                                <w:sz w:val="16"/>
                                <w:szCs w:val="16"/>
                                <w:lang w:val="id-ID"/>
                              </w:rPr>
                              <w:t>Keywords:</w:t>
                            </w:r>
                          </w:p>
                          <w:p w14:paraId="1B7963A7" w14:textId="7685384E" w:rsidR="003C28EC" w:rsidRDefault="00CB15F9" w:rsidP="00CB15F9">
                            <w:pPr>
                              <w:spacing w:before="0" w:line="240" w:lineRule="auto"/>
                              <w:textDirection w:val="btLr"/>
                            </w:pPr>
                            <w:r w:rsidRPr="00CB15F9">
                              <w:rPr>
                                <w:i/>
                                <w:color w:val="000000" w:themeColor="text1"/>
                                <w:sz w:val="16"/>
                                <w:szCs w:val="16"/>
                                <w:lang w:val="en-US"/>
                              </w:rPr>
                              <w:t>Legal Protection, Doctors, Healthcare Services, Non-Governmental Organizations</w:t>
                            </w:r>
                          </w:p>
                        </w:txbxContent>
                      </wps:txbx>
                      <wps:bodyPr spcFirstLastPara="1" wrap="square" lIns="0" tIns="0" rIns="36000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7DC054E" id="Rectangle 8" o:spid="_x0000_s1026" style="position:absolute;left:0;text-align:left;margin-left:.65pt;margin-top:10.15pt;width:146.2pt;height:18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" stroked="f">
                <v:textbox inset="0,0,10mm,0">
                  <w:txbxContent>
                    <w:p w14:paraId="75831CFC" w14:textId="77777777" w:rsidR="00984BA5" w:rsidRPr="00E40F89" w:rsidRDefault="00000000" w:rsidP="00984BA5">
                      <w:pPr>
                        <w:pBdr>
                          <w:bottom w:val="single" w:sz="4" w:space="1" w:color="auto"/>
                        </w:pBdr>
                        <w:spacing w:before="0" w:line="240" w:lineRule="auto"/>
                        <w:rPr>
                          <w:b/>
                          <w:bCs/>
                          <w:sz w:val="18"/>
                          <w:szCs w:val="18"/>
                        </w:rPr>
                      </w:pPr>
                      <w:r>
                        <w:rPr>
                          <w:b/>
                          <w:color w:val="000000"/>
                          <w:sz w:val="18"/>
                        </w:rPr>
                        <w:t xml:space="preserve">A </w:t>
                      </w:r>
                      <w:r w:rsidR="00984BA5" w:rsidRPr="00E40F89">
                        <w:rPr>
                          <w:b/>
                          <w:bCs/>
                          <w:sz w:val="18"/>
                          <w:szCs w:val="18"/>
                        </w:rPr>
                        <w:t xml:space="preserve">R T I C L E </w:t>
                      </w:r>
                      <w:r w:rsidR="00984BA5">
                        <w:rPr>
                          <w:b/>
                          <w:bCs/>
                          <w:sz w:val="18"/>
                          <w:szCs w:val="18"/>
                        </w:rPr>
                        <w:t xml:space="preserve">  </w:t>
                      </w:r>
                      <w:r w:rsidR="00984BA5" w:rsidRPr="00E40F89">
                        <w:rPr>
                          <w:b/>
                          <w:bCs/>
                          <w:sz w:val="18"/>
                          <w:szCs w:val="18"/>
                        </w:rPr>
                        <w:t>I N F O</w:t>
                      </w:r>
                    </w:p>
                    <w:p w14:paraId="41FBD30D" w14:textId="77777777" w:rsidR="00984BA5" w:rsidRPr="004E2F4B" w:rsidRDefault="00984BA5" w:rsidP="00984BA5">
                      <w:pPr>
                        <w:spacing w:before="0" w:line="240" w:lineRule="auto"/>
                        <w:rPr>
                          <w:b/>
                          <w:i/>
                          <w:sz w:val="12"/>
                          <w:szCs w:val="14"/>
                        </w:rPr>
                      </w:pPr>
                    </w:p>
                    <w:p w14:paraId="74DC7BF3" w14:textId="77777777" w:rsidR="00984BA5" w:rsidRPr="00E739B0" w:rsidRDefault="00984BA5" w:rsidP="00984BA5">
                      <w:pPr>
                        <w:spacing w:before="0" w:line="240" w:lineRule="auto"/>
                        <w:rPr>
                          <w:b/>
                          <w:i/>
                          <w:sz w:val="16"/>
                          <w:szCs w:val="18"/>
                        </w:rPr>
                      </w:pPr>
                      <w:r w:rsidRPr="00E739B0">
                        <w:rPr>
                          <w:b/>
                          <w:i/>
                          <w:sz w:val="16"/>
                          <w:szCs w:val="18"/>
                        </w:rPr>
                        <w:t>Article history:</w:t>
                      </w:r>
                    </w:p>
                    <w:p w14:paraId="498C1E80" w14:textId="77777777" w:rsidR="00984BA5" w:rsidRPr="00DF462A" w:rsidRDefault="00984BA5" w:rsidP="00984BA5">
                      <w:pPr>
                        <w:pBdr>
                          <w:bottom w:val="single" w:sz="8" w:space="1" w:color="auto"/>
                        </w:pBdr>
                        <w:spacing w:before="0" w:line="240" w:lineRule="auto"/>
                        <w:rPr>
                          <w:sz w:val="16"/>
                          <w:szCs w:val="18"/>
                        </w:rPr>
                      </w:pPr>
                      <w:r w:rsidRPr="00DF462A">
                        <w:rPr>
                          <w:sz w:val="16"/>
                          <w:szCs w:val="18"/>
                        </w:rPr>
                        <w:t xml:space="preserve">Received </w:t>
                      </w:r>
                      <w:r w:rsidR="00595E9E">
                        <w:rPr>
                          <w:sz w:val="16"/>
                          <w:szCs w:val="18"/>
                        </w:rPr>
                        <w:t>July</w:t>
                      </w:r>
                      <w:r w:rsidRPr="00DF462A">
                        <w:rPr>
                          <w:sz w:val="16"/>
                          <w:szCs w:val="18"/>
                        </w:rPr>
                        <w:t>, 202</w:t>
                      </w:r>
                      <w:r w:rsidR="00595E9E">
                        <w:rPr>
                          <w:sz w:val="16"/>
                          <w:szCs w:val="18"/>
                        </w:rPr>
                        <w:t>5</w:t>
                      </w:r>
                    </w:p>
                    <w:p w14:paraId="1F7AECD8" w14:textId="77777777" w:rsidR="00984BA5" w:rsidRPr="00DF462A" w:rsidRDefault="00984BA5" w:rsidP="00984BA5">
                      <w:pPr>
                        <w:pBdr>
                          <w:bottom w:val="single" w:sz="8" w:space="1" w:color="auto"/>
                        </w:pBdr>
                        <w:spacing w:before="0" w:line="240" w:lineRule="auto"/>
                        <w:rPr>
                          <w:sz w:val="16"/>
                          <w:szCs w:val="18"/>
                        </w:rPr>
                      </w:pPr>
                      <w:r w:rsidRPr="00DF462A">
                        <w:rPr>
                          <w:sz w:val="16"/>
                          <w:szCs w:val="18"/>
                        </w:rPr>
                        <w:t xml:space="preserve">Revised </w:t>
                      </w:r>
                      <w:r w:rsidR="00595E9E">
                        <w:rPr>
                          <w:sz w:val="16"/>
                          <w:szCs w:val="18"/>
                        </w:rPr>
                        <w:t>July</w:t>
                      </w:r>
                      <w:r w:rsidR="00595E9E" w:rsidRPr="00DF462A">
                        <w:rPr>
                          <w:sz w:val="16"/>
                          <w:szCs w:val="18"/>
                        </w:rPr>
                        <w:t>, 202</w:t>
                      </w:r>
                      <w:r w:rsidR="00595E9E">
                        <w:rPr>
                          <w:sz w:val="16"/>
                          <w:szCs w:val="18"/>
                        </w:rPr>
                        <w:t>5</w:t>
                      </w:r>
                    </w:p>
                    <w:p w14:paraId="49DCD3DD" w14:textId="77777777" w:rsidR="00984BA5" w:rsidRPr="00DF462A" w:rsidRDefault="00984BA5" w:rsidP="00984BA5">
                      <w:pPr>
                        <w:pBdr>
                          <w:bottom w:val="single" w:sz="8" w:space="1" w:color="auto"/>
                        </w:pBdr>
                        <w:spacing w:before="0" w:line="240" w:lineRule="auto"/>
                        <w:rPr>
                          <w:sz w:val="16"/>
                          <w:szCs w:val="18"/>
                        </w:rPr>
                      </w:pPr>
                      <w:r w:rsidRPr="00DF462A">
                        <w:rPr>
                          <w:sz w:val="16"/>
                          <w:szCs w:val="18"/>
                        </w:rPr>
                        <w:t>Accepted</w:t>
                      </w:r>
                      <w:r>
                        <w:rPr>
                          <w:sz w:val="16"/>
                          <w:szCs w:val="18"/>
                        </w:rPr>
                        <w:t xml:space="preserve"> </w:t>
                      </w:r>
                      <w:r w:rsidR="00595E9E">
                        <w:rPr>
                          <w:sz w:val="16"/>
                          <w:szCs w:val="18"/>
                        </w:rPr>
                        <w:t>July</w:t>
                      </w:r>
                      <w:r w:rsidR="00595E9E" w:rsidRPr="00DF462A">
                        <w:rPr>
                          <w:sz w:val="16"/>
                          <w:szCs w:val="18"/>
                        </w:rPr>
                        <w:t>, 202</w:t>
                      </w:r>
                      <w:r w:rsidR="00595E9E">
                        <w:rPr>
                          <w:sz w:val="16"/>
                          <w:szCs w:val="18"/>
                        </w:rPr>
                        <w:t>5</w:t>
                      </w:r>
                    </w:p>
                    <w:p w14:paraId="37B8A45F" w14:textId="77777777" w:rsidR="00984BA5" w:rsidRPr="005F0262" w:rsidRDefault="00984BA5" w:rsidP="00984BA5">
                      <w:pPr>
                        <w:pBdr>
                          <w:bottom w:val="single" w:sz="8" w:space="1" w:color="auto"/>
                        </w:pBdr>
                        <w:spacing w:before="0" w:line="240" w:lineRule="auto"/>
                        <w:rPr>
                          <w:sz w:val="16"/>
                          <w:szCs w:val="18"/>
                        </w:rPr>
                      </w:pPr>
                      <w:r w:rsidRPr="00DF462A">
                        <w:rPr>
                          <w:sz w:val="16"/>
                          <w:szCs w:val="18"/>
                        </w:rPr>
                        <w:t xml:space="preserve">Available online </w:t>
                      </w:r>
                      <w:r w:rsidR="00595E9E">
                        <w:rPr>
                          <w:sz w:val="16"/>
                          <w:szCs w:val="18"/>
                        </w:rPr>
                        <w:t>July</w:t>
                      </w:r>
                      <w:r w:rsidR="00595E9E" w:rsidRPr="00DF462A">
                        <w:rPr>
                          <w:sz w:val="16"/>
                          <w:szCs w:val="18"/>
                        </w:rPr>
                        <w:t>, 202</w:t>
                      </w:r>
                      <w:r w:rsidR="00595E9E">
                        <w:rPr>
                          <w:sz w:val="16"/>
                          <w:szCs w:val="18"/>
                        </w:rPr>
                        <w:t>5</w:t>
                      </w:r>
                    </w:p>
                    <w:p w14:paraId="4186973F" w14:textId="77777777" w:rsidR="00984BA5" w:rsidRPr="004E2F4B" w:rsidRDefault="00984BA5" w:rsidP="00984BA5">
                      <w:pPr>
                        <w:pBdr>
                          <w:bottom w:val="single" w:sz="8" w:space="1" w:color="auto"/>
                        </w:pBdr>
                        <w:spacing w:before="0" w:line="240" w:lineRule="auto"/>
                        <w:rPr>
                          <w:b/>
                          <w:sz w:val="12"/>
                          <w:szCs w:val="12"/>
                        </w:rPr>
                      </w:pPr>
                    </w:p>
                    <w:p w14:paraId="63651158" w14:textId="77777777" w:rsidR="00984BA5" w:rsidRPr="004E2F4B" w:rsidRDefault="00984BA5" w:rsidP="00984BA5">
                      <w:pPr>
                        <w:spacing w:before="0" w:line="240" w:lineRule="auto"/>
                        <w:rPr>
                          <w:b/>
                          <w:i/>
                          <w:sz w:val="12"/>
                          <w:szCs w:val="12"/>
                        </w:rPr>
                      </w:pPr>
                    </w:p>
                    <w:p w14:paraId="3757456B" w14:textId="77777777" w:rsidR="00984BA5" w:rsidRPr="009C358F" w:rsidRDefault="00984BA5" w:rsidP="00984BA5">
                      <w:pPr>
                        <w:spacing w:before="0" w:line="240" w:lineRule="auto"/>
                        <w:rPr>
                          <w:b/>
                          <w:iCs/>
                          <w:sz w:val="16"/>
                          <w:szCs w:val="16"/>
                        </w:rPr>
                      </w:pPr>
                      <w:r w:rsidRPr="009C358F">
                        <w:rPr>
                          <w:b/>
                          <w:iCs/>
                          <w:sz w:val="16"/>
                          <w:szCs w:val="16"/>
                        </w:rPr>
                        <w:t xml:space="preserve">Kata </w:t>
                      </w:r>
                      <w:proofErr w:type="spellStart"/>
                      <w:r w:rsidRPr="009C358F">
                        <w:rPr>
                          <w:b/>
                          <w:iCs/>
                          <w:sz w:val="16"/>
                          <w:szCs w:val="16"/>
                        </w:rPr>
                        <w:t>Kunci</w:t>
                      </w:r>
                      <w:proofErr w:type="spellEnd"/>
                      <w:r w:rsidRPr="009C358F">
                        <w:rPr>
                          <w:b/>
                          <w:iCs/>
                          <w:sz w:val="16"/>
                          <w:szCs w:val="16"/>
                        </w:rPr>
                        <w:t>:</w:t>
                      </w:r>
                    </w:p>
                    <w:p w14:paraId="4C018A31" w14:textId="0DC8D9A3" w:rsidR="000B64CD" w:rsidRDefault="00CB15F9" w:rsidP="00984BA5">
                      <w:pPr>
                        <w:spacing w:before="0" w:line="240" w:lineRule="auto"/>
                        <w:rPr>
                          <w:iCs/>
                          <w:color w:val="000000"/>
                          <w:sz w:val="16"/>
                          <w:szCs w:val="16"/>
                          <w:lang w:val="en-US"/>
                        </w:rPr>
                      </w:pPr>
                      <w:proofErr w:type="spellStart"/>
                      <w:r w:rsidRPr="00CB15F9">
                        <w:rPr>
                          <w:iCs/>
                          <w:color w:val="000000"/>
                          <w:sz w:val="16"/>
                          <w:szCs w:val="16"/>
                          <w:lang w:val="en-US"/>
                        </w:rPr>
                        <w:t>Perlindungan</w:t>
                      </w:r>
                      <w:proofErr w:type="spellEnd"/>
                      <w:r w:rsidRPr="00CB15F9">
                        <w:rPr>
                          <w:iCs/>
                          <w:color w:val="000000"/>
                          <w:sz w:val="16"/>
                          <w:szCs w:val="16"/>
                          <w:lang w:val="en-US"/>
                        </w:rPr>
                        <w:t xml:space="preserve"> Hukum, </w:t>
                      </w:r>
                      <w:proofErr w:type="spellStart"/>
                      <w:r w:rsidRPr="00CB15F9">
                        <w:rPr>
                          <w:iCs/>
                          <w:color w:val="000000"/>
                          <w:sz w:val="16"/>
                          <w:szCs w:val="16"/>
                          <w:lang w:val="en-US"/>
                        </w:rPr>
                        <w:t>Dokter</w:t>
                      </w:r>
                      <w:proofErr w:type="spellEnd"/>
                      <w:r w:rsidRPr="00CB15F9">
                        <w:rPr>
                          <w:iCs/>
                          <w:color w:val="000000"/>
                          <w:sz w:val="16"/>
                          <w:szCs w:val="16"/>
                          <w:lang w:val="en-US"/>
                        </w:rPr>
                        <w:t xml:space="preserve">, </w:t>
                      </w:r>
                      <w:proofErr w:type="spellStart"/>
                      <w:r w:rsidRPr="00CB15F9">
                        <w:rPr>
                          <w:iCs/>
                          <w:color w:val="000000"/>
                          <w:sz w:val="16"/>
                          <w:szCs w:val="16"/>
                          <w:lang w:val="en-US"/>
                        </w:rPr>
                        <w:t>Pelayanan</w:t>
                      </w:r>
                      <w:proofErr w:type="spellEnd"/>
                      <w:r w:rsidRPr="00CB15F9">
                        <w:rPr>
                          <w:iCs/>
                          <w:color w:val="000000"/>
                          <w:sz w:val="16"/>
                          <w:szCs w:val="16"/>
                          <w:lang w:val="en-US"/>
                        </w:rPr>
                        <w:t xml:space="preserve"> Kesehatan, Lembaga </w:t>
                      </w:r>
                      <w:proofErr w:type="spellStart"/>
                      <w:r w:rsidRPr="00CB15F9">
                        <w:rPr>
                          <w:iCs/>
                          <w:color w:val="000000"/>
                          <w:sz w:val="16"/>
                          <w:szCs w:val="16"/>
                          <w:lang w:val="en-US"/>
                        </w:rPr>
                        <w:t>Swadaya</w:t>
                      </w:r>
                      <w:proofErr w:type="spellEnd"/>
                      <w:r w:rsidRPr="00CB15F9">
                        <w:rPr>
                          <w:iCs/>
                          <w:color w:val="000000"/>
                          <w:sz w:val="16"/>
                          <w:szCs w:val="16"/>
                          <w:lang w:val="en-US"/>
                        </w:rPr>
                        <w:t xml:space="preserve"> Masyarakat</w:t>
                      </w:r>
                    </w:p>
                    <w:p w14:paraId="7DDAE6FE" w14:textId="77777777" w:rsidR="00CB15F9" w:rsidRPr="009C358F" w:rsidRDefault="00CB15F9" w:rsidP="00984BA5">
                      <w:pPr>
                        <w:spacing w:before="0" w:line="240" w:lineRule="auto"/>
                        <w:rPr>
                          <w:iCs/>
                          <w:color w:val="000000"/>
                          <w:sz w:val="13"/>
                          <w:szCs w:val="13"/>
                          <w:lang w:val="en-US"/>
                        </w:rPr>
                      </w:pPr>
                    </w:p>
                    <w:p w14:paraId="71711D2E" w14:textId="77777777" w:rsidR="00984BA5" w:rsidRPr="009C358F" w:rsidRDefault="00984BA5" w:rsidP="00984BA5">
                      <w:pPr>
                        <w:spacing w:before="0" w:line="240" w:lineRule="auto"/>
                        <w:rPr>
                          <w:b/>
                          <w:i/>
                          <w:color w:val="000000" w:themeColor="text1"/>
                          <w:sz w:val="16"/>
                          <w:szCs w:val="16"/>
                          <w:lang w:val="id-ID"/>
                        </w:rPr>
                      </w:pPr>
                      <w:proofErr w:type="spellStart"/>
                      <w:r w:rsidRPr="009C358F">
                        <w:rPr>
                          <w:b/>
                          <w:i/>
                          <w:color w:val="000000" w:themeColor="text1"/>
                          <w:sz w:val="16"/>
                          <w:szCs w:val="16"/>
                          <w:lang w:val="id-ID"/>
                        </w:rPr>
                        <w:t>Keywords</w:t>
                      </w:r>
                      <w:proofErr w:type="spellEnd"/>
                      <w:r w:rsidRPr="009C358F">
                        <w:rPr>
                          <w:b/>
                          <w:i/>
                          <w:color w:val="000000" w:themeColor="text1"/>
                          <w:sz w:val="16"/>
                          <w:szCs w:val="16"/>
                          <w:lang w:val="id-ID"/>
                        </w:rPr>
                        <w:t>:</w:t>
                      </w:r>
                    </w:p>
                    <w:p w14:paraId="1B7963A7" w14:textId="7685384E" w:rsidR="003C28EC" w:rsidRDefault="00CB15F9" w:rsidP="00CB15F9">
                      <w:pPr>
                        <w:spacing w:before="0" w:line="240" w:lineRule="auto"/>
                        <w:textDirection w:val="btLr"/>
                      </w:pPr>
                      <w:r w:rsidRPr="00CB15F9">
                        <w:rPr>
                          <w:i/>
                          <w:color w:val="000000" w:themeColor="text1"/>
                          <w:sz w:val="16"/>
                          <w:szCs w:val="16"/>
                          <w:lang w:val="en-US"/>
                        </w:rPr>
                        <w:t>Legal Protection, Doctors, Healthcare Services, Non-Governmental Organizations</w:t>
                      </w:r>
                    </w:p>
                  </w:txbxContent>
                </v:textbox>
                <w10:wrap type="square"/>
              </v:rect>
            </w:pict>
          </mc:Fallback>
        </mc:AlternateContent>
      </w:r>
      <w:r w:rsidRPr="005F2CCD">
        <w:rPr>
          <w:rFonts w:ascii="Book Antiqua" w:eastAsia="Cambria" w:hAnsi="Book Antiqua" w:cs="Cambria"/>
          <w:b/>
          <w:sz w:val="18"/>
          <w:szCs w:val="18"/>
        </w:rPr>
        <w:t>A B S T R A K</w:t>
      </w:r>
    </w:p>
    <w:p w14:paraId="18B5E658" w14:textId="6542AF4F" w:rsidR="000B64CD" w:rsidRDefault="00CB15F9">
      <w:pPr>
        <w:spacing w:before="0" w:line="240" w:lineRule="auto"/>
        <w:ind w:right="-2"/>
        <w:rPr>
          <w:rFonts w:ascii="Book Antiqua" w:hAnsi="Book Antiqua"/>
          <w:sz w:val="20"/>
          <w:szCs w:val="20"/>
        </w:rPr>
      </w:pPr>
      <w:r w:rsidRPr="00CB15F9">
        <w:rPr>
          <w:rFonts w:ascii="Book Antiqua" w:hAnsi="Book Antiqua"/>
          <w:sz w:val="20"/>
          <w:szCs w:val="20"/>
        </w:rPr>
        <w:t>Penelitian ini bertujuan menganalisis perlindungan hukum terhadap dokter dari tindakan penyimpangan Lembaga Swadaya Masyarakat (LSM) dalam pengawasan pelayanan kesehatan di RSUD Dr. H. Ibnu Sutowo Baturaja. Metode yang digunakan adalah penelitian hukum yuridis empiris dengan pendekatan deskriptif analitis, menggabungkan studi literatur, wawancara, dan observasi langsung. Data primer diperoleh dari wawancara dan observasi, sementara data sekunder berasal dari peraturan perundang-undangan dan literatur ilmiah. Hasil penelitian menunjukkan bahwa meskipun Undang-Undang Nomor 17 Tahun 2023 memberikan dasar hukum perlindungan terhadap tenaga medis, implementasi pengawasan oleh LSM sering menimbulkan penyimpangan seperti tindakan tanpa izin dan penyebaran informasi tidak terverifikasi, yang dapat merugikan dokter secara psikologis maupun profesional. Diskusi menyoroti perlunya regulasi tegas mengenai batas kewenangan LSM dan mekanisme penyelesaian sengketa yang adil serta berbasiskan bukti. Kesimpulan menyatakan bahwa perlindungan hukum dan sistem pengawasan yang seimbang sangat penting untuk menjaga profesionalisme dan independensi dokter. Rekomendasi meliputi penyusunan regulasi yang memperjelas peran dan kewenangan LSM serta peningkatan kolaborasi multi-sektor demi terciptanya sistem pengawasan yang adil, transparan, dan berkeadilan.</w:t>
      </w:r>
    </w:p>
    <w:p w14:paraId="6FC6FD41" w14:textId="77777777" w:rsidR="00CB15F9" w:rsidRDefault="00CB15F9">
      <w:pPr>
        <w:spacing w:before="0" w:line="240" w:lineRule="auto"/>
        <w:ind w:right="-2"/>
        <w:rPr>
          <w:rFonts w:ascii="Book Antiqua" w:hAnsi="Book Antiqua"/>
          <w:sz w:val="20"/>
          <w:szCs w:val="20"/>
        </w:rPr>
      </w:pPr>
    </w:p>
    <w:p w14:paraId="3EE5449A" w14:textId="77777777" w:rsidR="00783104" w:rsidRPr="005F2CCD" w:rsidRDefault="00783104">
      <w:pPr>
        <w:spacing w:before="0" w:line="240" w:lineRule="auto"/>
        <w:ind w:right="-2"/>
        <w:rPr>
          <w:rFonts w:ascii="Book Antiqua" w:hAnsi="Book Antiqua"/>
          <w:sz w:val="18"/>
          <w:szCs w:val="18"/>
        </w:rPr>
      </w:pPr>
    </w:p>
    <w:p w14:paraId="7C8592DF" w14:textId="77777777" w:rsidR="00984BA5" w:rsidRPr="005F2CCD" w:rsidRDefault="00984BA5" w:rsidP="00115929">
      <w:pPr>
        <w:pBdr>
          <w:bottom w:val="single" w:sz="4" w:space="1" w:color="auto"/>
        </w:pBdr>
        <w:spacing w:before="0" w:line="240" w:lineRule="auto"/>
        <w:rPr>
          <w:rFonts w:ascii="Book Antiqua" w:hAnsi="Book Antiqua" w:cs="AdvOTc4d0b532"/>
          <w:b/>
          <w:sz w:val="18"/>
          <w:szCs w:val="18"/>
        </w:rPr>
      </w:pPr>
      <w:r w:rsidRPr="005F2CCD">
        <w:rPr>
          <w:rFonts w:ascii="Book Antiqua" w:hAnsi="Book Antiqua" w:cs="AdvOTc4d0b532"/>
          <w:b/>
          <w:sz w:val="18"/>
          <w:szCs w:val="18"/>
        </w:rPr>
        <w:t>A B S T R A C T</w:t>
      </w:r>
    </w:p>
    <w:p w14:paraId="2B60676E" w14:textId="1E7EB4D8" w:rsidR="00984BA5" w:rsidRPr="004A33CA" w:rsidRDefault="00CB15F9" w:rsidP="004A33CA">
      <w:pPr>
        <w:spacing w:before="0"/>
        <w:rPr>
          <w:rFonts w:ascii="Book Antiqua" w:hAnsi="Book Antiqua"/>
          <w:bCs/>
          <w:i/>
          <w:iCs/>
          <w:sz w:val="20"/>
          <w:szCs w:val="20"/>
        </w:rPr>
      </w:pPr>
      <w:r w:rsidRPr="00CB15F9">
        <w:rPr>
          <w:rFonts w:ascii="Book Antiqua" w:hAnsi="Book Antiqua"/>
          <w:bCs/>
          <w:i/>
          <w:iCs/>
          <w:sz w:val="20"/>
          <w:szCs w:val="20"/>
        </w:rPr>
        <w:t>This study aims to analyze the legal protection of doctors against misconduct by Non-Governmental Organizations (NGOs) in monitoring healthcare services at Dr. H. Ibnu Sutowo Regional General Hospital (RSUD) Baturaja. The method used is empirical juridical legal research with a descriptive-analytical approach, combining literature studies, interviews, and direct observation. Primary data were obtained through interviews and observations, while secondary data came from legislation and scholarly literature. The findings indicate that although Law Number 17 of 2023 provides a legal basis for the protection of medical personnel, the implementation of monitoring by NGOs often leads to irregularities such as unauthorized actions and the dissemination of unverified information, which may harm doctors both psychologically and professionally. The discussion highlights the need for firm regulations regarding the limits of NGO authority and a fair dispute resolution mechanism based on evidence. The conclusion states that legal protection and a balanced monitoring system are crucial to maintaining the professionalism and independence of doctors. The recommendations include drafting regulations that clarify the roles and powers of NGOs and enhancing multi-sector collaboration to create a just, transparent, and equitable monitoring system.</w:t>
      </w:r>
    </w:p>
    <w:p w14:paraId="2C6CA886" w14:textId="77777777" w:rsidR="00783104" w:rsidRPr="005F2CCD" w:rsidRDefault="00783104" w:rsidP="00B8037C">
      <w:pPr>
        <w:pBdr>
          <w:top w:val="single" w:sz="4" w:space="0" w:color="000000"/>
        </w:pBdr>
        <w:spacing w:before="0" w:line="240" w:lineRule="auto"/>
        <w:rPr>
          <w:rFonts w:ascii="Book Antiqua" w:eastAsia="Cambria" w:hAnsi="Book Antiqua" w:cs="Cambria"/>
          <w:sz w:val="21"/>
          <w:szCs w:val="21"/>
        </w:rPr>
      </w:pPr>
    </w:p>
    <w:p w14:paraId="5F89F40B" w14:textId="77777777" w:rsidR="003C28EC" w:rsidRPr="00712662" w:rsidRDefault="0013446F" w:rsidP="00712662">
      <w:pPr>
        <w:pStyle w:val="Heading1"/>
        <w:spacing w:before="0" w:line="276" w:lineRule="auto"/>
        <w:jc w:val="both"/>
        <w:rPr>
          <w:rFonts w:ascii="Book Antiqua" w:hAnsi="Book Antiqua"/>
          <w:color w:val="000000" w:themeColor="text1"/>
        </w:rPr>
      </w:pPr>
      <w:r w:rsidRPr="00712662">
        <w:rPr>
          <w:rFonts w:ascii="Book Antiqua" w:hAnsi="Book Antiqua"/>
          <w:color w:val="000000" w:themeColor="text1"/>
        </w:rPr>
        <w:lastRenderedPageBreak/>
        <w:t>PENDAHULUAN</w:t>
      </w:r>
    </w:p>
    <w:p w14:paraId="5B659955" w14:textId="77777777" w:rsidR="00CB15F9" w:rsidRDefault="00CB15F9" w:rsidP="00CB15F9">
      <w:pPr>
        <w:spacing w:before="0"/>
        <w:ind w:firstLine="567"/>
        <w:rPr>
          <w:rFonts w:ascii="Book Antiqua" w:hAnsi="Book Antiqua"/>
          <w:szCs w:val="20"/>
        </w:rPr>
      </w:pPr>
      <w:r w:rsidRPr="00E749A2">
        <w:rPr>
          <w:rFonts w:ascii="Book Antiqua" w:hAnsi="Book Antiqua"/>
          <w:szCs w:val="20"/>
        </w:rPr>
        <w:t>Pelayanan kesehatan merupakan hak asasi manusia yang dijamin oleh konstitusi dan diperkuat melalui Undang-Undang Nomor 17 Tahun 2023 tentang Kesehatan. Dalam Pasal 4 disebutkan bahwa setiap orang berhak memperoleh pelayanan kesehatan yang aman, bermutu, dan terjangkau. Negara berkewajiban memastikan bahwa pelayanan tersebut dilaksanakan sesuai prinsip keadilan, profesionalisme, serta menjamin hak dan kewajiban semua pihak yang terlibat, termasuk dokter dan pasien.</w:t>
      </w:r>
    </w:p>
    <w:p w14:paraId="2C67BF60" w14:textId="77777777" w:rsidR="00CB15F9" w:rsidRDefault="00CB15F9" w:rsidP="00CB15F9">
      <w:pPr>
        <w:spacing w:before="0"/>
        <w:ind w:firstLine="567"/>
        <w:rPr>
          <w:rFonts w:ascii="Book Antiqua" w:hAnsi="Book Antiqua"/>
          <w:szCs w:val="20"/>
        </w:rPr>
      </w:pPr>
      <w:r w:rsidRPr="00E749A2">
        <w:rPr>
          <w:rFonts w:ascii="Book Antiqua" w:hAnsi="Book Antiqua"/>
          <w:szCs w:val="20"/>
        </w:rPr>
        <w:t>Dokter sebagai tenaga medis memiliki peran sentral dalam sistem pelayanan kesehatan. Mereka dituntut untuk menjalankan tugas berdasarkan standar profesi, standar pelayanan, dan kode etik kedokteran sebagaimana diatur dalam Pasal 273 ayat (1) UU No. 17 Tahun 2023. Namun dalam praktiknya, tidak sedikit dokter menghadapi tantangan berat ketika tindakan medis mereka dipermasalahkan secara hukum, meskipun telah sesuai dengan standar operasional prosedur (SOP). Hal ini menunjukkan bahwa profesi dokter sangat rentan terhadap sorotan publik dan tekanan hukum yang dapat memengaruhi integritas dan profesionalisme mereka.</w:t>
      </w:r>
    </w:p>
    <w:p w14:paraId="0DE7E4BD" w14:textId="77777777" w:rsidR="00CB15F9" w:rsidRDefault="00CB15F9" w:rsidP="00CB15F9">
      <w:pPr>
        <w:spacing w:before="0"/>
        <w:ind w:firstLine="567"/>
        <w:rPr>
          <w:rStyle w:val="relative"/>
          <w:rFonts w:ascii="Book Antiqua" w:hAnsi="Book Antiqua"/>
          <w:szCs w:val="20"/>
        </w:rPr>
      </w:pPr>
      <w:r w:rsidRPr="004D33B9">
        <w:rPr>
          <w:rStyle w:val="relative"/>
          <w:rFonts w:ascii="Book Antiqua" w:hAnsi="Book Antiqua"/>
        </w:rPr>
        <w:t>Salah satu tantangan yang kini kerap muncul berasal dari peran Lembaga Swadaya Masyarakat (LSM) dalam mengawasi pelayanan kesehatan. Secara prinsip, LSM memiliki peran penting dalam mengadvokasi hak-hak masyarakat dan melakukan kontrol sosial terhadap institusi publik. Namun, dalam beberapa kasus, tindakan LSM dinilai telah melampaui kewenangannya karena praktik pengawasan yang tidak terkendali</w:t>
      </w:r>
      <w:r>
        <w:rPr>
          <w:rStyle w:val="relative"/>
          <w:rFonts w:ascii="Book Antiqua" w:hAnsi="Book Antiqua"/>
        </w:rPr>
        <w:t xml:space="preserve"> </w:t>
      </w:r>
      <w:r w:rsidRPr="004D33B9">
        <w:rPr>
          <w:rStyle w:val="relative"/>
          <w:rFonts w:ascii="Book Antiqua" w:hAnsi="Book Antiqua"/>
        </w:rPr>
        <w:t>meliputi tindakan tanpa izin, penyebaran informasi tidak terverifikasi, dan pelaporan kepada pihak berwenang tanpa dukungan bukti medis atau legal yang kuat. Fenomena semacam ini telah diobservasi dalam penelitian hukum yang menunjukkan bahwa pengawasan LSM kerap dilakukan tanpa prosedur yang baku dan akuntabel, sehingga menimbulkan risiko penyalahgunaan wewenang dan meruntuhkan kredibilitas institusi yang diawasi</w:t>
      </w:r>
      <w:r>
        <w:rPr>
          <w:rStyle w:val="relative"/>
          <w:rFonts w:ascii="Book Antiqua" w:hAnsi="Book Antiqua"/>
        </w:rPr>
        <w:t>.</w:t>
      </w:r>
      <w:sdt>
        <w:sdtPr>
          <w:rPr>
            <w:rStyle w:val="relative"/>
            <w:rFonts w:ascii="Book Antiqua" w:hAnsi="Book Antiqua"/>
          </w:rPr>
          <w:tag w:val="MENDELEY_CITATION_v3_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"/>
          <w:id w:val="2126035676"/>
          <w:lock w:val="contentLocked"/>
          <w:placeholder>
            <w:docPart w:val="2E71ABE9BBD87F458880FF398D0B1062"/>
          </w:placeholder>
        </w:sdtPr>
        <w:sdtContent>
          <w:r>
            <w:rPr>
              <w:rStyle w:val="FootnoteReference"/>
              <w:rFonts w:ascii="Book Antiqua" w:hAnsi="Book Antiqua"/>
            </w:rPr>
            <w:footnoteReference w:id="1"/>
          </w:r>
        </w:sdtContent>
      </w:sdt>
      <w:r>
        <w:rPr>
          <w:rStyle w:val="relative"/>
          <w:rFonts w:ascii="Book Antiqua" w:hAnsi="Book Antiqua"/>
        </w:rPr>
        <w:t xml:space="preserve"> </w:t>
      </w:r>
      <w:r w:rsidRPr="004D33B9">
        <w:rPr>
          <w:rStyle w:val="relative"/>
          <w:rFonts w:ascii="Book Antiqua" w:hAnsi="Book Antiqua"/>
        </w:rPr>
        <w:t>Pendekatan yang tidak proporsional ini, meskipun dimaksudkan untuk melindungi hak pasien, dapat mengakibatkan pencemaran nama baik dan kerugian bagi tenaga medis</w:t>
      </w:r>
      <w:r>
        <w:rPr>
          <w:rStyle w:val="relative"/>
          <w:rFonts w:ascii="Book Antiqua" w:hAnsi="Book Antiqua"/>
        </w:rPr>
        <w:t xml:space="preserve"> </w:t>
      </w:r>
      <w:r w:rsidRPr="004D33B9">
        <w:rPr>
          <w:rStyle w:val="relative"/>
          <w:rFonts w:ascii="Book Antiqua" w:hAnsi="Book Antiqua"/>
        </w:rPr>
        <w:t>terutama dokter</w:t>
      </w:r>
      <w:r>
        <w:rPr>
          <w:rStyle w:val="relative"/>
          <w:rFonts w:ascii="Book Antiqua" w:hAnsi="Book Antiqua"/>
        </w:rPr>
        <w:t xml:space="preserve"> </w:t>
      </w:r>
      <w:r w:rsidRPr="004D33B9">
        <w:rPr>
          <w:rStyle w:val="relative"/>
          <w:rFonts w:ascii="Book Antiqua" w:hAnsi="Book Antiqua"/>
        </w:rPr>
        <w:t>sehingga menimbulkan dilema hukum dan etika antara perlindungan pasien dan keadilan profesi medis.</w:t>
      </w:r>
    </w:p>
    <w:p w14:paraId="6DE37D22" w14:textId="77777777" w:rsidR="00CB15F9" w:rsidRDefault="00CB15F9" w:rsidP="00CB15F9">
      <w:pPr>
        <w:spacing w:before="0"/>
        <w:ind w:firstLine="567"/>
        <w:rPr>
          <w:rFonts w:ascii="Book Antiqua" w:hAnsi="Book Antiqua"/>
          <w:szCs w:val="20"/>
        </w:rPr>
      </w:pPr>
      <w:r w:rsidRPr="00E749A2">
        <w:rPr>
          <w:rFonts w:ascii="Book Antiqua" w:hAnsi="Book Antiqua"/>
          <w:szCs w:val="20"/>
        </w:rPr>
        <w:t>Kasus di RSUD Dr. H. Ibnu Sutowo Baturaja pada Februari 2023 menjadi contoh nyata dinamika ini. Seorang pasien yang telah dipulangkan sesuai prosedur karena kondisi membaik, kemudian ditemukan dalam keadaan lemah di rumahnya dan dianggap sebagai korban penelantaran oleh LSM. Meskipun pihak rumah sakit telah bertindak sesuai SOP, LSM membawa isu ini ke ranah publik dan legislatif, menyebabkan tekanan psikologis bagi dokter. Peristiwa ini menunjukkan adanya ketegangan antara pengawasan masyarakat sipil dan kewenangan profesional medis yang belum memiliki batas hukum yang jelas.</w:t>
      </w:r>
    </w:p>
    <w:p w14:paraId="31A0D99B" w14:textId="77777777" w:rsidR="00CB15F9" w:rsidRDefault="00CB15F9" w:rsidP="00CB15F9">
      <w:pPr>
        <w:spacing w:before="0"/>
        <w:ind w:firstLine="567"/>
        <w:rPr>
          <w:rFonts w:ascii="Book Antiqua" w:hAnsi="Book Antiqua"/>
          <w:szCs w:val="20"/>
        </w:rPr>
      </w:pPr>
      <w:r w:rsidRPr="00E749A2">
        <w:rPr>
          <w:rFonts w:ascii="Book Antiqua" w:hAnsi="Book Antiqua"/>
          <w:szCs w:val="20"/>
        </w:rPr>
        <w:t xml:space="preserve">Kondisi tersebut menimbulkan pertanyaan mengenai sejauh mana perlindungan hukum bagi dokter tersedia ketika mereka menghadapi tuduhan dari pihak eksternal, khususnya LSM. Undang-Undang Nomor 17 Tahun 2023 memang menyediakan perlindungan hukum terhadap tenaga medis dalam Pasal 310, tetapi tidak secara </w:t>
      </w:r>
      <w:r w:rsidRPr="00E749A2">
        <w:rPr>
          <w:rFonts w:ascii="Book Antiqua" w:hAnsi="Book Antiqua"/>
          <w:szCs w:val="20"/>
        </w:rPr>
        <w:lastRenderedPageBreak/>
        <w:t>eksplisit mengatur tentang perlindungan terhadap intervensi dari LSM. Dengan kata lain, regulasi yang ada masih bersifat umum dan belum memberikan ketentuan yang spesifik terkait batasan atau prosedur hukum yang harus diikuti oleh pihak eksternal ketika mengajukan tuntutan terhadap tenaga medis.</w:t>
      </w:r>
    </w:p>
    <w:p w14:paraId="251E7EB8" w14:textId="77777777" w:rsidR="00CB15F9" w:rsidRDefault="00CB15F9" w:rsidP="00CB15F9">
      <w:pPr>
        <w:spacing w:before="0"/>
        <w:ind w:firstLine="567"/>
        <w:rPr>
          <w:rFonts w:ascii="Book Antiqua" w:hAnsi="Book Antiqua"/>
          <w:szCs w:val="20"/>
        </w:rPr>
      </w:pPr>
      <w:r w:rsidRPr="00CD091E">
        <w:rPr>
          <w:rFonts w:ascii="Book Antiqua" w:hAnsi="Book Antiqua"/>
          <w:szCs w:val="20"/>
        </w:rPr>
        <w:t>Fenomena ini memperlihatkan bahwa ada kesenjangan hukum dalam perlindungan terhadap dokter dalam konteks pengawasan yang dilakukan oleh organisasi non-negara. Padahal, perlindungan hukum tidak hanya penting untuk menjamin rasa aman bagi dokter dalam melaksanakan tugasnya, tetapi juga untuk menjaga keberlangsungan pelayanan kesehatan yang profesional dan bertanggung jawab. Jika tidak ada kepastian hukum yang memadai, maka risiko kriminalisasi profesi medis bisa terjadi, dan hal ini dapat menurunkan motivasi serta moral dokter dalam menjalankan praktik kedokteran. kekhawatiran terhadap tuntutan hukum menyebabkan sebagian dokter mengalami stres berat, mempertimbangkan pensiun dini, dan bahkan menghindari kasus-kasus medis berisiko tinggi, sehingga berdampak pada keseluruhan kualitas pelayanan medis</w:t>
      </w:r>
      <w:r>
        <w:rPr>
          <w:rFonts w:ascii="Book Antiqua" w:hAnsi="Book Antiqua"/>
          <w:szCs w:val="20"/>
        </w:rPr>
        <w:t>.</w:t>
      </w:r>
      <w:sdt>
        <w:sdtPr>
          <w:rPr>
            <w:rFonts w:ascii="Book Antiqua" w:hAnsi="Book Antiqua"/>
            <w:szCs w:val="20"/>
          </w:rPr>
          <w:tag w:val="MENDELEY_CITATION_v3_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"/>
          <w:id w:val="503557393"/>
          <w:lock w:val="contentLocked"/>
          <w:placeholder>
            <w:docPart w:val="2E71ABE9BBD87F458880FF398D0B1062"/>
          </w:placeholder>
        </w:sdtPr>
        <w:sdtContent>
          <w:r>
            <w:rPr>
              <w:rStyle w:val="FootnoteReference"/>
              <w:rFonts w:ascii="Book Antiqua" w:hAnsi="Book Antiqua"/>
              <w:szCs w:val="20"/>
            </w:rPr>
            <w:footnoteReference w:id="2"/>
          </w:r>
        </w:sdtContent>
      </w:sdt>
    </w:p>
    <w:p w14:paraId="468D4EC4" w14:textId="6DDF286B" w:rsidR="00CB15F9" w:rsidRDefault="00CB15F9" w:rsidP="00CB15F9">
      <w:pPr>
        <w:spacing w:before="0"/>
        <w:ind w:firstLine="567"/>
        <w:rPr>
          <w:rFonts w:ascii="Book Antiqua" w:hAnsi="Book Antiqua"/>
          <w:szCs w:val="20"/>
        </w:rPr>
      </w:pPr>
      <w:r w:rsidRPr="00E749A2">
        <w:rPr>
          <w:rFonts w:ascii="Book Antiqua" w:hAnsi="Book Antiqua"/>
          <w:szCs w:val="20"/>
        </w:rPr>
        <w:t>Berdasarkan persoalan-persoalan tersebut, penelitian ini penting dilakukan untuk mengkaji bagaimana dokter dapat menggunakan Undang-Undang Nomor 17 Tahun 2023 sebagai dasar perlindungan hukum dalam menghadapi tindakan LSM yang dinilai berlebihan atau tanpa dasar. Penelitian ini juga akan membahas mekanisme hukum apa saja yang dapat ditempuh oleh dokter dalam membela diri serta bagaimana posisi hukum profesi medis dapat diperkuat tanpa mengabaikan hak-hak masyarakat yang diwakili oleh LSM. Dengan demikian, akan terwujud keseimbangan antara hak atas pelayanan kesehatan yang baik dan perlindungan terhadap martabat serta profesionalisme dokter.</w:t>
      </w:r>
    </w:p>
    <w:p w14:paraId="0EE2E532" w14:textId="77777777" w:rsidR="00D120D8" w:rsidRPr="005F2CCD" w:rsidRDefault="00D120D8" w:rsidP="008C600A">
      <w:pPr>
        <w:pStyle w:val="Reference"/>
        <w:numPr>
          <w:ilvl w:val="0"/>
          <w:numId w:val="0"/>
        </w:numPr>
        <w:ind w:left="284"/>
        <w:rPr>
          <w:rFonts w:ascii="Book Antiqua" w:hAnsi="Book Antiqua"/>
          <w:sz w:val="21"/>
          <w:szCs w:val="21"/>
        </w:rPr>
      </w:pPr>
    </w:p>
    <w:p w14:paraId="317F6D95" w14:textId="77777777" w:rsidR="008C600A" w:rsidRPr="00712662" w:rsidRDefault="008C600A" w:rsidP="00712662">
      <w:pPr>
        <w:pStyle w:val="Heading1"/>
        <w:spacing w:before="0" w:line="276" w:lineRule="auto"/>
        <w:jc w:val="both"/>
        <w:rPr>
          <w:rFonts w:ascii="Book Antiqua" w:hAnsi="Book Antiqua"/>
          <w:b w:val="0"/>
        </w:rPr>
      </w:pPr>
      <w:r w:rsidRPr="00712662">
        <w:rPr>
          <w:rFonts w:ascii="Book Antiqua" w:hAnsi="Book Antiqua"/>
          <w:bCs/>
          <w:color w:val="000000" w:themeColor="text1"/>
        </w:rPr>
        <w:t>M</w:t>
      </w:r>
      <w:r w:rsidR="00317C93" w:rsidRPr="00712662">
        <w:rPr>
          <w:rFonts w:ascii="Book Antiqua" w:hAnsi="Book Antiqua"/>
          <w:bCs/>
          <w:color w:val="000000" w:themeColor="text1"/>
        </w:rPr>
        <w:t>ETODE</w:t>
      </w:r>
      <w:r w:rsidR="00336B54" w:rsidRPr="00712662">
        <w:rPr>
          <w:rFonts w:ascii="Book Antiqua" w:hAnsi="Book Antiqua"/>
          <w:b w:val="0"/>
          <w:bCs/>
          <w:color w:val="000000" w:themeColor="text1"/>
        </w:rPr>
        <w:t xml:space="preserve"> </w:t>
      </w:r>
    </w:p>
    <w:p w14:paraId="25DEEA30" w14:textId="77777777" w:rsidR="00CB15F9" w:rsidRDefault="00CB15F9" w:rsidP="00CB15F9">
      <w:pPr>
        <w:spacing w:before="0"/>
        <w:ind w:firstLine="567"/>
        <w:rPr>
          <w:rFonts w:ascii="Book Antiqua" w:hAnsi="Book Antiqua"/>
          <w:lang w:val="en-US"/>
        </w:rPr>
      </w:pPr>
      <w:r w:rsidRPr="00E749A2">
        <w:rPr>
          <w:rFonts w:ascii="Book Antiqua" w:hAnsi="Book Antiqua"/>
          <w:lang w:val="en-US"/>
        </w:rPr>
        <w:t xml:space="preserve">Penelitian ini merupakan penelitian hukum yuridis empiris, yaitu suatu metode penelitian hukum yang mengkaji bagaimana hukum bekerja dalam masyarakat dengan melihat kenyataan sosial yang berkaitan dengan penerapan norma hukum yang berlaku. </w:t>
      </w:r>
      <w:r>
        <w:rPr>
          <w:rFonts w:ascii="Book Antiqua" w:hAnsi="Book Antiqua"/>
          <w:lang w:val="en-US"/>
        </w:rPr>
        <w:t>M</w:t>
      </w:r>
      <w:r w:rsidRPr="00E749A2">
        <w:rPr>
          <w:rFonts w:ascii="Book Antiqua" w:hAnsi="Book Antiqua"/>
          <w:lang w:val="en-US"/>
        </w:rPr>
        <w:t>etode yuridis empiris merupakan penelitian hukum yang mengkaji penerapan hukum dalam realitas sosial dan dampaknya terhadap masyarakat.</w:t>
      </w:r>
      <w:sdt>
        <w:sdtPr>
          <w:rPr>
            <w:rFonts w:ascii="Book Antiqua" w:hAnsi="Book Antiqua"/>
            <w:lang w:val="en-US"/>
          </w:rPr>
          <w:tag w:val="MENDELEY_CITATION_v3_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"/>
          <w:id w:val="-1954941772"/>
          <w:lock w:val="contentLocked"/>
          <w:placeholder>
            <w:docPart w:val="0BB63A381575594C9E162F942F2CE9B3"/>
          </w:placeholder>
        </w:sdtPr>
        <w:sdtContent>
          <w:r>
            <w:rPr>
              <w:rStyle w:val="FootnoteReference"/>
              <w:rFonts w:ascii="Book Antiqua" w:hAnsi="Book Antiqua"/>
              <w:lang w:val="en-US"/>
            </w:rPr>
            <w:footnoteReference w:id="3"/>
          </w:r>
        </w:sdtContent>
      </w:sdt>
      <w:r w:rsidRPr="00E749A2">
        <w:rPr>
          <w:rFonts w:ascii="Book Antiqua" w:hAnsi="Book Antiqua"/>
          <w:lang w:val="en-US"/>
        </w:rPr>
        <w:t xml:space="preserve"> Dengan demikian, pendekatan ini tidak hanya berfokus pada norma hukum tertulis, tetapi juga memperhatikan bagaimana hukum diimplementasikan dan dirasakan dalam praktik, terutama dalam konteks hubungan antara dokter dan Lembaga Swadaya Masyarakat (LSM) di lingkungan pelayanan kesehatan.</w:t>
      </w:r>
    </w:p>
    <w:p w14:paraId="5C697BCB" w14:textId="42111EFF" w:rsidR="00CB15F9" w:rsidRPr="00E749A2" w:rsidRDefault="00CB15F9" w:rsidP="00CB15F9">
      <w:pPr>
        <w:spacing w:before="0"/>
        <w:ind w:firstLine="567"/>
        <w:rPr>
          <w:rFonts w:ascii="Book Antiqua" w:hAnsi="Book Antiqua"/>
          <w:lang w:val="en-US"/>
        </w:rPr>
      </w:pPr>
      <w:r w:rsidRPr="00E749A2">
        <w:rPr>
          <w:rFonts w:ascii="Book Antiqua" w:hAnsi="Book Antiqua"/>
          <w:lang w:val="en-US"/>
        </w:rPr>
        <w:t xml:space="preserve">Spesifikasi penelitian ini bersifat deskriptif analitis, yakni menggambarkan secara sistematis, faktual, dan akurat mengenai fakta dan karakteristik suatu populasi atau fenomena tertentu yang sedang diteliti, kemudian dianalisis secara mendalam berdasarkan ketentuan hukum yang berlaku. </w:t>
      </w:r>
      <w:r>
        <w:rPr>
          <w:rFonts w:ascii="Book Antiqua" w:hAnsi="Book Antiqua"/>
          <w:lang w:val="en-US"/>
        </w:rPr>
        <w:t>P</w:t>
      </w:r>
      <w:r w:rsidRPr="00E749A2">
        <w:rPr>
          <w:rFonts w:ascii="Book Antiqua" w:hAnsi="Book Antiqua"/>
          <w:lang w:val="en-US"/>
        </w:rPr>
        <w:t>enelitian deskriptif analitis bertujuan untuk memberikan data secara menyeluruh dan cermat mengenai objek yang diteliti, kemudian dianalisis untuk menjawab permasalahan hukum yang dikaji.</w:t>
      </w:r>
    </w:p>
    <w:p w14:paraId="55BF0225" w14:textId="77777777" w:rsidR="00CB15F9" w:rsidRPr="00E749A2" w:rsidRDefault="00CB15F9" w:rsidP="00F40EF3">
      <w:pPr>
        <w:ind w:firstLine="567"/>
        <w:rPr>
          <w:rFonts w:ascii="Book Antiqua" w:hAnsi="Book Antiqua"/>
          <w:lang w:val="en-US"/>
        </w:rPr>
      </w:pPr>
      <w:r w:rsidRPr="00E749A2">
        <w:rPr>
          <w:rFonts w:ascii="Book Antiqua" w:hAnsi="Book Antiqua"/>
          <w:lang w:val="en-US"/>
        </w:rPr>
        <w:lastRenderedPageBreak/>
        <w:t>Sumber data dalam penelitian ini terdiri dari data primer, yaitu data yang diperoleh langsung melalui wawancara dan observasi di RSUD Dr. H. Ibnu Sutowo Baturaja, serta data sekunder yang berasal dari studi kepustakaan berupa peraturan perundang-undangan, dokumen resmi, literatur ilmiah, serta hasil penelitian terdahulu yang relevan. Penggunaan kedua jenis data ini memungkinkan peneliti untuk mendapatkan gambaran yang utuh dan komprehensif mengenai perlindungan hukum terhadap dokter dalam menghadapi tindakan LSM, khususnya dalam konteks penerapan Undang-Undang Nomor 17 Tahun 2023 tentang Kesehatan.</w:t>
      </w:r>
    </w:p>
    <w:p w14:paraId="6F3077AC" w14:textId="77777777" w:rsidR="009516E6" w:rsidRPr="005F2CCD" w:rsidRDefault="009516E6" w:rsidP="009516E6">
      <w:pPr>
        <w:spacing w:before="0" w:line="240" w:lineRule="auto"/>
        <w:ind w:firstLine="567"/>
        <w:rPr>
          <w:rFonts w:ascii="Book Antiqua" w:hAnsi="Book Antiqua"/>
          <w:sz w:val="21"/>
          <w:szCs w:val="20"/>
        </w:rPr>
      </w:pPr>
    </w:p>
    <w:p w14:paraId="316C0669" w14:textId="77777777" w:rsidR="003C28EC" w:rsidRPr="00712662" w:rsidRDefault="00317C93" w:rsidP="00712662">
      <w:pPr>
        <w:pStyle w:val="Heading1"/>
        <w:spacing w:before="0" w:line="276" w:lineRule="auto"/>
        <w:jc w:val="both"/>
        <w:rPr>
          <w:rFonts w:ascii="Book Antiqua" w:hAnsi="Book Antiqua"/>
          <w:b w:val="0"/>
          <w:color w:val="000000" w:themeColor="text1"/>
        </w:rPr>
      </w:pPr>
      <w:r w:rsidRPr="00712662">
        <w:rPr>
          <w:rFonts w:ascii="Book Antiqua" w:hAnsi="Book Antiqua"/>
          <w:color w:val="000000" w:themeColor="text1"/>
        </w:rPr>
        <w:t>Hasil Dan Pembahasan</w:t>
      </w:r>
      <w:r w:rsidR="00336B54" w:rsidRPr="00712662">
        <w:rPr>
          <w:rFonts w:ascii="Book Antiqua" w:hAnsi="Book Antiqua"/>
          <w:color w:val="000000" w:themeColor="text1"/>
        </w:rPr>
        <w:t xml:space="preserve"> </w:t>
      </w:r>
    </w:p>
    <w:p w14:paraId="0E1D750E" w14:textId="77777777" w:rsidR="00CB15F9" w:rsidRPr="00E749A2" w:rsidRDefault="00CB15F9" w:rsidP="00CB15F9">
      <w:pPr>
        <w:spacing w:before="0"/>
        <w:rPr>
          <w:rFonts w:ascii="Book Antiqua" w:hAnsi="Book Antiqua"/>
          <w:lang w:val="en-US"/>
        </w:rPr>
      </w:pPr>
      <w:r w:rsidRPr="00E749A2">
        <w:rPr>
          <w:rFonts w:ascii="Book Antiqua" w:hAnsi="Book Antiqua"/>
          <w:b/>
          <w:bCs/>
        </w:rPr>
        <w:t>Perlindungan Hukum terhadap Dokter dari Tindakan Penyimpangan LSM dalam Pengawasan Pelayanan Kesehatan</w:t>
      </w:r>
    </w:p>
    <w:p w14:paraId="0F945578" w14:textId="77777777" w:rsidR="00CB15F9" w:rsidRDefault="00CB15F9" w:rsidP="00CB15F9">
      <w:pPr>
        <w:spacing w:before="0"/>
        <w:ind w:firstLine="567"/>
        <w:rPr>
          <w:rFonts w:ascii="Book Antiqua" w:hAnsi="Book Antiqua"/>
          <w:lang w:val="en-US"/>
        </w:rPr>
      </w:pPr>
      <w:r w:rsidRPr="00E749A2">
        <w:rPr>
          <w:rFonts w:ascii="Book Antiqua" w:hAnsi="Book Antiqua"/>
        </w:rPr>
        <w:t xml:space="preserve">Dokter sebagai ujung tombak pelayanan medis membutuhkan </w:t>
      </w:r>
      <w:r w:rsidRPr="00E749A2">
        <w:rPr>
          <w:rFonts w:ascii="Book Antiqua" w:hAnsi="Book Antiqua"/>
          <w:b/>
          <w:bCs/>
        </w:rPr>
        <w:t>perlindungan hukum</w:t>
      </w:r>
      <w:r w:rsidRPr="00E749A2">
        <w:rPr>
          <w:rFonts w:ascii="Book Antiqua" w:hAnsi="Book Antiqua"/>
        </w:rPr>
        <w:t xml:space="preserve"> agar dapat menjalankan tugas tanpa ancaman tuntutan hukum yang tidak berdasar. Salah satu aspek krusial adalah pengawasan from Lembaga Swadaya Masyarakat (LSM), yang meskipun bertujuan membela pasien, sering melampaui kewenangan dan merugikan tenaga medis serta institusi rumah sakit.</w:t>
      </w:r>
    </w:p>
    <w:p w14:paraId="5C93E5E5" w14:textId="77777777" w:rsidR="00CB15F9" w:rsidRDefault="00CB15F9" w:rsidP="00CB15F9">
      <w:pPr>
        <w:spacing w:before="0"/>
        <w:ind w:firstLine="567"/>
        <w:rPr>
          <w:rFonts w:ascii="Book Antiqua" w:hAnsi="Book Antiqua"/>
          <w:lang w:val="en-US"/>
        </w:rPr>
      </w:pPr>
      <w:r w:rsidRPr="00E749A2">
        <w:rPr>
          <w:rFonts w:ascii="Book Antiqua" w:hAnsi="Book Antiqua"/>
        </w:rPr>
        <w:t>Di RSUD Dr. H.</w:t>
      </w:r>
      <w:r w:rsidRPr="00E749A2">
        <w:t> </w:t>
      </w:r>
      <w:r w:rsidRPr="00E749A2">
        <w:rPr>
          <w:rFonts w:ascii="Book Antiqua" w:hAnsi="Book Antiqua"/>
        </w:rPr>
        <w:t>Ibnu Sutowo Baturaja, praktik pengawasan semacam ini jamak terjadi. Bentuk penyimpangannya mencakup penyebaran informasi belum diverifikasi, tekanan terhadap keputusan medis, dan bahkan pelaporan publik yang memicu keresahan tenaga medis. Hal ini menimbulkan kebutuhan mendesak untuk mekanisme perlindungan hukum yang memadai bagi dokter agar mereka dapat bekerja sesuai standar tanpa intervensi yang merugikan.</w:t>
      </w:r>
    </w:p>
    <w:p w14:paraId="7EA0FEE0" w14:textId="77777777" w:rsidR="00CB15F9" w:rsidRDefault="00CB15F9" w:rsidP="00CB15F9">
      <w:pPr>
        <w:spacing w:before="0"/>
        <w:ind w:firstLine="567"/>
        <w:rPr>
          <w:rFonts w:ascii="Book Antiqua" w:hAnsi="Book Antiqua"/>
          <w:lang w:val="en-US"/>
        </w:rPr>
      </w:pPr>
      <w:r w:rsidRPr="00E749A2">
        <w:rPr>
          <w:rFonts w:ascii="Book Antiqua" w:hAnsi="Book Antiqua"/>
        </w:rPr>
        <w:t>Pendekatan teoretis dalam memahami fenomena ini dapat ditinjau dari dua perspektif: teori peran normatif dan faktual dalam sosiologi organisasi. Peran normatif menunjukkan ekspektasi publik bahwa LSM harus bertindak independen, obyektif, dan berdasarkan prosedur. Sementara peran faktual menyoroti realitas di lapangan LSM seringkali bertindak di luar kerangka hukum, menyebarkan data tidak valid, dan mendorong perubahan keputusan klinis tanpa dasar ilmiah.</w:t>
      </w:r>
    </w:p>
    <w:p w14:paraId="2B40F2F5" w14:textId="77777777" w:rsidR="00CB15F9" w:rsidRDefault="00CB15F9" w:rsidP="00CB15F9">
      <w:pPr>
        <w:spacing w:before="0"/>
        <w:ind w:firstLine="567"/>
        <w:rPr>
          <w:rFonts w:ascii="Book Antiqua" w:hAnsi="Book Antiqua"/>
          <w:lang w:val="en-US"/>
        </w:rPr>
      </w:pPr>
      <w:r w:rsidRPr="005E55B8">
        <w:rPr>
          <w:rFonts w:ascii="Book Antiqua" w:hAnsi="Book Antiqua"/>
        </w:rPr>
        <w:t xml:space="preserve">Untuk menganalisis interaksi ini lebih dalam, teori governance dalam tata kelola rumah sakit memberikan kerangka penting. </w:t>
      </w:r>
      <w:r>
        <w:rPr>
          <w:rFonts w:ascii="Book Antiqua" w:hAnsi="Book Antiqua"/>
        </w:rPr>
        <w:t>E</w:t>
      </w:r>
      <w:r w:rsidRPr="005E55B8">
        <w:rPr>
          <w:rFonts w:ascii="Book Antiqua" w:hAnsi="Book Antiqua"/>
        </w:rPr>
        <w:t>lemen tata kelola yang akuntabel, seperti governance inklusif, komitmen terhadap akuntabilitas, dan audit internal berkala, yang sangat penting dalam meningkatkan kualitas, keselamatan dan akuntabilitas rumah sakit</w:t>
      </w:r>
      <w:r>
        <w:rPr>
          <w:rFonts w:ascii="Book Antiqua" w:hAnsi="Book Antiqua"/>
        </w:rPr>
        <w:t>.</w:t>
      </w:r>
      <w:sdt>
        <w:sdtPr>
          <w:rPr>
            <w:rFonts w:ascii="Book Antiqua" w:hAnsi="Book Antiqua"/>
          </w:rPr>
          <w:tag w:val="MENDELEY_CITATION_v3_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"/>
          <w:id w:val="134607078"/>
          <w:lock w:val="contentLocked"/>
          <w:placeholder>
            <w:docPart w:val="E5C1C06F5C17854A885AE72C5CE9A9E5"/>
          </w:placeholder>
        </w:sdtPr>
        <w:sdtContent>
          <w:r>
            <w:rPr>
              <w:rStyle w:val="FootnoteReference"/>
              <w:rFonts w:ascii="Book Antiqua" w:hAnsi="Book Antiqua"/>
            </w:rPr>
            <w:footnoteReference w:id="4"/>
          </w:r>
        </w:sdtContent>
      </w:sdt>
      <w:r>
        <w:rPr>
          <w:rFonts w:ascii="Book Antiqua" w:hAnsi="Book Antiqua"/>
        </w:rPr>
        <w:t xml:space="preserve"> </w:t>
      </w:r>
      <w:r w:rsidRPr="005E55B8">
        <w:rPr>
          <w:rFonts w:ascii="Book Antiqua" w:hAnsi="Book Antiqua"/>
        </w:rPr>
        <w:t xml:space="preserve">Penelitian </w:t>
      </w:r>
      <w:r>
        <w:rPr>
          <w:rFonts w:ascii="Book Antiqua" w:hAnsi="Book Antiqua"/>
        </w:rPr>
        <w:t xml:space="preserve">di </w:t>
      </w:r>
      <w:r w:rsidRPr="005E55B8">
        <w:rPr>
          <w:rFonts w:ascii="Book Antiqua" w:hAnsi="Book Antiqua"/>
        </w:rPr>
        <w:t>Belanda juga menunjukkan bahwa keikutsertaan spesialis medis dalam tim audit dan keberadaan budaya pembelajaran pasca audit adalah faktor signifikan yang mendukung efektivitas audit untuk tata kelola keselamatan pasien. Pendekatan berbasis governance ini memperkuat ketahanan sistem pelayanan terhadap intervensi eksternal yang tidak sah, karena audit dan keterlibatan klinis menjadi mekanisme intern yang sistematis, berbasis bukti, dan transparan.</w:t>
      </w:r>
    </w:p>
    <w:p w14:paraId="5A0BD129" w14:textId="77777777" w:rsidR="00CB15F9" w:rsidRDefault="00CB15F9" w:rsidP="00CB15F9">
      <w:pPr>
        <w:spacing w:before="0"/>
        <w:ind w:firstLine="567"/>
        <w:rPr>
          <w:rFonts w:ascii="Book Antiqua" w:hAnsi="Book Antiqua"/>
          <w:lang w:val="en-US"/>
        </w:rPr>
      </w:pPr>
      <w:r w:rsidRPr="00CD091E">
        <w:rPr>
          <w:rFonts w:ascii="Book Antiqua" w:hAnsi="Book Antiqua"/>
        </w:rPr>
        <w:t>Dalam konteks hukum, perlindungan terhadap dokter telah berkembang melalui UU Nomor</w:t>
      </w:r>
      <w:r w:rsidRPr="00CD091E">
        <w:t> </w:t>
      </w:r>
      <w:r w:rsidRPr="00CD091E">
        <w:rPr>
          <w:rFonts w:ascii="Book Antiqua" w:hAnsi="Book Antiqua"/>
        </w:rPr>
        <w:t>17 Tahun</w:t>
      </w:r>
      <w:r w:rsidRPr="00CD091E">
        <w:t> </w:t>
      </w:r>
      <w:r w:rsidRPr="00CD091E">
        <w:rPr>
          <w:rFonts w:ascii="Book Antiqua" w:hAnsi="Book Antiqua"/>
        </w:rPr>
        <w:t xml:space="preserve">2023 yang menyediakan dasar untuk hak atas perlindungan hukum dan penyelesaian sengketa medis di luar pengadilan, termasuk perlindungan </w:t>
      </w:r>
      <w:r w:rsidRPr="00CD091E">
        <w:rPr>
          <w:rFonts w:ascii="Book Antiqua" w:hAnsi="Book Antiqua"/>
        </w:rPr>
        <w:lastRenderedPageBreak/>
        <w:t xml:space="preserve">dari ancaman eksternal. Namun, belum ada regulasi khusus yang mengatur tindakan pengawasan oleh LSM. Studi internasional menunjukkan bahwa meski LSM memainkan peran penting dalam tata kelola kesehatan, kurangnya mekanisme akuntabilitas dapat menyebabkan mereka melampaui kewenangan, dengan risiko menyebarkan informasi yang belum diverifikasi dan menciptakan ketidakpastian hukum bagi profesional medis. </w:t>
      </w:r>
      <w:r>
        <w:rPr>
          <w:rFonts w:ascii="Book Antiqua" w:hAnsi="Book Antiqua"/>
        </w:rPr>
        <w:t>K</w:t>
      </w:r>
      <w:r w:rsidRPr="00CD091E">
        <w:rPr>
          <w:rFonts w:ascii="Book Antiqua" w:hAnsi="Book Antiqua"/>
        </w:rPr>
        <w:t>ajian global mereka menyoroti pentingnya strategi seperti capacity building, pengembangan kebijakan, dan kolaborasi terstruktur untuk menjamin bahwa LSM bertindak dalam koridor yang profesional dan sahih, serta tidak merugikan pihak lain</w:t>
      </w:r>
      <w:r>
        <w:rPr>
          <w:rFonts w:ascii="Book Antiqua" w:hAnsi="Book Antiqua"/>
        </w:rPr>
        <w:t>.</w:t>
      </w:r>
      <w:sdt>
        <w:sdtPr>
          <w:rPr>
            <w:rFonts w:ascii="Book Antiqua" w:hAnsi="Book Antiqua"/>
          </w:rPr>
          <w:tag w:val="MENDELEY_CITATION_v3_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"/>
          <w:id w:val="970629091"/>
          <w:lock w:val="contentLocked"/>
          <w:placeholder>
            <w:docPart w:val="E5C1C06F5C17854A885AE72C5CE9A9E5"/>
          </w:placeholder>
        </w:sdtPr>
        <w:sdtContent>
          <w:r>
            <w:rPr>
              <w:rStyle w:val="FootnoteReference"/>
              <w:rFonts w:ascii="Book Antiqua" w:hAnsi="Book Antiqua"/>
            </w:rPr>
            <w:footnoteReference w:id="5"/>
          </w:r>
        </w:sdtContent>
      </w:sdt>
    </w:p>
    <w:p w14:paraId="68A1E4EB" w14:textId="77777777" w:rsidR="00CB15F9" w:rsidRDefault="00CB15F9" w:rsidP="00CB15F9">
      <w:pPr>
        <w:spacing w:before="0"/>
        <w:ind w:firstLine="567"/>
        <w:rPr>
          <w:rFonts w:ascii="Book Antiqua" w:hAnsi="Book Antiqua"/>
          <w:lang w:val="en-US"/>
        </w:rPr>
      </w:pPr>
      <w:r w:rsidRPr="00E749A2">
        <w:rPr>
          <w:rFonts w:ascii="Book Antiqua" w:hAnsi="Book Antiqua"/>
        </w:rPr>
        <w:t>Penelitian ini bertujuan mengeksplorasi potensi integrasi teori governance dan pendekatan yuridis untuk menyusun rekomendasi kebijakan dan tata cara perlindungan dokter di Baturaja. Fokusnya mencakup identifikasi celah hukum, penilaian implementasi mekanisme hukum yang ada, serta desain model pengawasan terpadu agar peran LSM tidak mengganggu independensi medis.</w:t>
      </w:r>
    </w:p>
    <w:p w14:paraId="318FC2DA" w14:textId="2281CCFE" w:rsidR="00CB15F9" w:rsidRPr="00E749A2" w:rsidRDefault="00CB15F9" w:rsidP="00CB15F9">
      <w:pPr>
        <w:spacing w:before="0"/>
        <w:ind w:firstLine="567"/>
        <w:rPr>
          <w:rFonts w:ascii="Book Antiqua" w:hAnsi="Book Antiqua"/>
          <w:lang w:val="en-US"/>
        </w:rPr>
      </w:pPr>
      <w:r w:rsidRPr="00E749A2">
        <w:rPr>
          <w:rFonts w:ascii="Book Antiqua" w:hAnsi="Book Antiqua"/>
        </w:rPr>
        <w:t>Model analisis mencakup:</w:t>
      </w:r>
    </w:p>
    <w:p w14:paraId="7332E688" w14:textId="77777777" w:rsidR="00CB15F9" w:rsidRPr="00F519DB" w:rsidRDefault="00CB15F9" w:rsidP="00CB15F9">
      <w:pPr>
        <w:pStyle w:val="ListParagraph"/>
        <w:numPr>
          <w:ilvl w:val="0"/>
          <w:numId w:val="10"/>
        </w:numPr>
        <w:tabs>
          <w:tab w:val="clear" w:pos="720"/>
        </w:tabs>
        <w:spacing w:after="0" w:line="240" w:lineRule="auto"/>
        <w:ind w:left="284" w:hanging="284"/>
        <w:jc w:val="both"/>
        <w:rPr>
          <w:rFonts w:ascii="Book Antiqua" w:hAnsi="Book Antiqua"/>
          <w:sz w:val="24"/>
          <w:szCs w:val="24"/>
          <w:lang w:val="en-US"/>
        </w:rPr>
      </w:pPr>
      <w:r w:rsidRPr="00F519DB">
        <w:rPr>
          <w:rFonts w:ascii="Book Antiqua" w:eastAsia="Times New Roman" w:hAnsi="Book Antiqua"/>
          <w:sz w:val="24"/>
          <w:szCs w:val="24"/>
        </w:rPr>
        <w:t>Kajian yuridis terhadap UU No.</w:t>
      </w:r>
      <w:r w:rsidRPr="00F519DB">
        <w:rPr>
          <w:rFonts w:ascii="Times New Roman" w:eastAsia="Times New Roman" w:hAnsi="Times New Roman"/>
          <w:sz w:val="24"/>
          <w:szCs w:val="24"/>
        </w:rPr>
        <w:t> </w:t>
      </w:r>
      <w:r w:rsidRPr="00F519DB">
        <w:rPr>
          <w:rFonts w:ascii="Book Antiqua" w:eastAsia="Times New Roman" w:hAnsi="Book Antiqua"/>
          <w:sz w:val="24"/>
          <w:szCs w:val="24"/>
        </w:rPr>
        <w:t>17/2023 dan peraturan turunannya yang relevan dengan hak dokter.</w:t>
      </w:r>
    </w:p>
    <w:p w14:paraId="02C2D83C" w14:textId="77777777" w:rsidR="00CB15F9" w:rsidRPr="00E749A2" w:rsidRDefault="00CB15F9" w:rsidP="00CB15F9">
      <w:pPr>
        <w:numPr>
          <w:ilvl w:val="0"/>
          <w:numId w:val="10"/>
        </w:numPr>
        <w:tabs>
          <w:tab w:val="clear" w:pos="720"/>
        </w:tabs>
        <w:spacing w:before="100" w:beforeAutospacing="1" w:after="100" w:afterAutospacing="1" w:line="240" w:lineRule="auto"/>
        <w:ind w:left="284" w:hanging="284"/>
        <w:rPr>
          <w:rFonts w:ascii="Book Antiqua" w:hAnsi="Book Antiqua"/>
        </w:rPr>
      </w:pPr>
      <w:r w:rsidRPr="00E749A2">
        <w:rPr>
          <w:rFonts w:ascii="Book Antiqua" w:hAnsi="Book Antiqua"/>
        </w:rPr>
        <w:t>Studi empiris melalui wawancara dan observasi di RSUD Dr.</w:t>
      </w:r>
      <w:r w:rsidRPr="00E749A2">
        <w:t> </w:t>
      </w:r>
      <w:r w:rsidRPr="00E749A2">
        <w:rPr>
          <w:rFonts w:ascii="Book Antiqua" w:hAnsi="Book Antiqua"/>
        </w:rPr>
        <w:t>H.</w:t>
      </w:r>
      <w:r w:rsidRPr="00E749A2">
        <w:t> </w:t>
      </w:r>
      <w:r w:rsidRPr="00E749A2">
        <w:rPr>
          <w:rFonts w:ascii="Book Antiqua" w:hAnsi="Book Antiqua"/>
        </w:rPr>
        <w:t>Ibnu Sutowo untuk mengidentifikasi bentuk penyimpangan oleh LSM.</w:t>
      </w:r>
    </w:p>
    <w:p w14:paraId="07EE2DC6" w14:textId="77777777" w:rsidR="00CB15F9" w:rsidRPr="00E749A2" w:rsidRDefault="00CB15F9" w:rsidP="00CB15F9">
      <w:pPr>
        <w:numPr>
          <w:ilvl w:val="0"/>
          <w:numId w:val="10"/>
        </w:numPr>
        <w:tabs>
          <w:tab w:val="clear" w:pos="720"/>
        </w:tabs>
        <w:spacing w:before="100" w:beforeAutospacing="1" w:after="100" w:afterAutospacing="1" w:line="240" w:lineRule="auto"/>
        <w:ind w:left="284" w:hanging="284"/>
        <w:rPr>
          <w:rFonts w:ascii="Book Antiqua" w:hAnsi="Book Antiqua"/>
        </w:rPr>
      </w:pPr>
      <w:r w:rsidRPr="00E749A2">
        <w:rPr>
          <w:rFonts w:ascii="Book Antiqua" w:hAnsi="Book Antiqua"/>
        </w:rPr>
        <w:t>Comparative governance framework dari literatur internasional untuk menilai potensi sistem audit, pelaporan mutu, dan mediasi sebagai instrumen proteksi.</w:t>
      </w:r>
    </w:p>
    <w:p w14:paraId="575EAC58" w14:textId="77777777" w:rsidR="00CB15F9" w:rsidRPr="00E749A2" w:rsidRDefault="00CB15F9" w:rsidP="00F40EF3">
      <w:pPr>
        <w:spacing w:before="100" w:beforeAutospacing="1" w:after="100" w:afterAutospacing="1"/>
        <w:ind w:firstLine="567"/>
        <w:rPr>
          <w:rFonts w:ascii="Book Antiqua" w:hAnsi="Book Antiqua"/>
        </w:rPr>
      </w:pPr>
      <w:r w:rsidRPr="00E749A2">
        <w:rPr>
          <w:rFonts w:ascii="Book Antiqua" w:hAnsi="Book Antiqua"/>
        </w:rPr>
        <w:t>Dengan perspektif multidisipliner ini, diharapkan dapat dirumuskan rekomendasi juridis dan model tata kelola rumah sakit yang mampu melindungi dokter secara efektif tanpa menghambat fungsi pengawasan LSM dalam koridor hukum dan etika.</w:t>
      </w:r>
    </w:p>
    <w:p w14:paraId="66068B44" w14:textId="77777777" w:rsidR="00CB15F9" w:rsidRPr="00E749A2" w:rsidRDefault="00CB15F9" w:rsidP="00F40EF3">
      <w:pPr>
        <w:rPr>
          <w:rFonts w:ascii="Book Antiqua" w:hAnsi="Book Antiqua"/>
        </w:rPr>
      </w:pPr>
      <w:r w:rsidRPr="00E749A2">
        <w:rPr>
          <w:rFonts w:ascii="Book Antiqua" w:hAnsi="Book Antiqua"/>
          <w:b/>
          <w:bCs/>
        </w:rPr>
        <w:t>Upaya yang Dapat Dilakukan Pemerintah Terkait Peran Lembaga Swadaya Masyarakat (LSM) dalam Menjaga Keseimbangan Antara Pengawasan Pelayanan Kesehatan dan Menjaga Independensi Serta Etika Profesi Dokter</w:t>
      </w:r>
    </w:p>
    <w:p w14:paraId="7399224C" w14:textId="77777777" w:rsidR="00CB15F9" w:rsidRDefault="00CB15F9" w:rsidP="00CB15F9">
      <w:pPr>
        <w:spacing w:before="0"/>
        <w:ind w:firstLine="567"/>
        <w:rPr>
          <w:rFonts w:ascii="Book Antiqua" w:hAnsi="Book Antiqua"/>
        </w:rPr>
      </w:pPr>
      <w:r w:rsidRPr="00E749A2">
        <w:rPr>
          <w:rFonts w:ascii="Book Antiqua" w:hAnsi="Book Antiqua"/>
        </w:rPr>
        <w:t>Penelitian ini menggali upaya yang dapat dilakukan oleh pemerintah untuk menjaga keseimbangan antara pengawasan oleh LSM terhadap pelayanan kesehatan dan perlindungan terhadap independensi serta etika profesi dokter. Hasil penelitian menunjukkan bahwa meskipun LSM memiliki tujuan mulia dalam mengawasi pelayanan kesehatan, terdapat tantangan serius terkait pelaksanaan pengawasan yang tidak selalu sesuai dengan mekanisme prosedural yang berlaku. Hal ini menyebabkan munculnya konflik, tekanan psikis, hingga potensi kriminalisasi tenaga medis yang menjalankan tugasnya sesuai standar profesi. Oleh karena itu, pemerintah perlu mengambil langkah strategis dalam memperkuat sistem pengawasan yang adil, transparan, dan tidak mematikan independensi medis.</w:t>
      </w:r>
    </w:p>
    <w:p w14:paraId="1FDAEE7E" w14:textId="77777777" w:rsidR="00CB15F9" w:rsidRDefault="00CB15F9" w:rsidP="00CB15F9">
      <w:pPr>
        <w:spacing w:before="0"/>
        <w:ind w:firstLine="567"/>
        <w:rPr>
          <w:rFonts w:ascii="Book Antiqua" w:hAnsi="Book Antiqua"/>
        </w:rPr>
      </w:pPr>
      <w:r w:rsidRPr="00E749A2">
        <w:rPr>
          <w:rFonts w:ascii="Book Antiqua" w:hAnsi="Book Antiqua"/>
        </w:rPr>
        <w:t xml:space="preserve">Pertama, penguatan regulasi dan kebijakan menjadi langkah krusial. Pemerintah harus merevisi atau menyusun regulasi yang secara eksplisit mengatur batas kewenangan LSM dalam melakukan kontrol sosial terhadap pelayanan rumah sakit. </w:t>
      </w:r>
      <w:r w:rsidRPr="00E749A2">
        <w:rPr>
          <w:rFonts w:ascii="Book Antiqua" w:hAnsi="Book Antiqua"/>
        </w:rPr>
        <w:lastRenderedPageBreak/>
        <w:t>Hal ini penting agar tidak terjadi tumpang tindih antara fungsi pengawasan LSM dan kewenangan institusi resmi seperti Komite Medik, Komite Etik, dan Dinas Kesehatan. Sebagaimana dikemukakan oleh Biddle dalam Role Theory: Expectations, Identities, and Behaviors, konflik antara peran normatif dan faktual dapat menimbulkan ketidakseimbangan relasi sosial dan disfungsi institusional jika tidak dikelola secara bijak melalui batasan peran yang tegas.</w:t>
      </w:r>
      <w:sdt>
        <w:sdtPr>
          <w:rPr>
            <w:rFonts w:ascii="Book Antiqua" w:hAnsi="Book Antiqua"/>
          </w:rPr>
          <w:tag w:val="MENDELEY_CITATION_v3_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"/>
          <w:id w:val="1299726833"/>
          <w:lock w:val="contentLocked"/>
          <w:placeholder>
            <w:docPart w:val="E5C1C06F5C17854A885AE72C5CE9A9E5"/>
          </w:placeholder>
        </w:sdtPr>
        <w:sdtContent>
          <w:r>
            <w:rPr>
              <w:rStyle w:val="FootnoteReference"/>
              <w:rFonts w:ascii="Book Antiqua" w:hAnsi="Book Antiqua"/>
            </w:rPr>
            <w:footnoteReference w:id="6"/>
          </w:r>
        </w:sdtContent>
      </w:sdt>
      <w:r w:rsidRPr="00E749A2">
        <w:rPr>
          <w:rFonts w:ascii="Book Antiqua" w:hAnsi="Book Antiqua"/>
        </w:rPr>
        <w:t xml:space="preserve"> Dalam </w:t>
      </w:r>
      <w:r>
        <w:rPr>
          <w:rFonts w:ascii="Book Antiqua" w:hAnsi="Book Antiqua"/>
        </w:rPr>
        <w:t>hal</w:t>
      </w:r>
      <w:r w:rsidRPr="00E749A2">
        <w:rPr>
          <w:rFonts w:ascii="Book Antiqua" w:hAnsi="Book Antiqua"/>
        </w:rPr>
        <w:t xml:space="preserve"> ini, LSM yang seharusnya menjalankan peran pengawasan normatif, pada kenyataannya sering kali bertindak di luar batas kewenangan yang sah.</w:t>
      </w:r>
    </w:p>
    <w:p w14:paraId="34D1A8DF" w14:textId="77777777" w:rsidR="00CB15F9" w:rsidRDefault="00CB15F9" w:rsidP="00CB15F9">
      <w:pPr>
        <w:spacing w:before="0"/>
        <w:ind w:firstLine="567"/>
        <w:rPr>
          <w:rFonts w:ascii="Book Antiqua" w:hAnsi="Book Antiqua"/>
        </w:rPr>
      </w:pPr>
      <w:r w:rsidRPr="00E749A2">
        <w:rPr>
          <w:rFonts w:ascii="Book Antiqua" w:hAnsi="Book Antiqua"/>
        </w:rPr>
        <w:t xml:space="preserve">Kedua, peningkatan kolaborasi antara LSM, rumah sakit, dan pemerintah diperlukan untuk memperkuat prinsip transparansi, akuntabilitas, dan sinergi antar institusi. </w:t>
      </w:r>
      <w:r>
        <w:rPr>
          <w:rFonts w:ascii="Book Antiqua" w:hAnsi="Book Antiqua"/>
        </w:rPr>
        <w:t>M</w:t>
      </w:r>
      <w:r w:rsidRPr="00E749A2">
        <w:rPr>
          <w:rFonts w:ascii="Book Antiqua" w:hAnsi="Book Antiqua"/>
        </w:rPr>
        <w:t>odel collaborative governance menunjukkan bahwa kolaborasi lintas sektor memerlukan kepercayaan, komitmen bersama, dan komunikasi terbuka untuk membangun kebijakan yang inklusif dan responsif.</w:t>
      </w:r>
      <w:sdt>
        <w:sdtPr>
          <w:rPr>
            <w:rFonts w:ascii="Book Antiqua" w:hAnsi="Book Antiqua"/>
          </w:rPr>
          <w:tag w:val="MENDELEY_CITATION_v3_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"/>
          <w:id w:val="1399239350"/>
          <w:lock w:val="contentLocked"/>
          <w:placeholder>
            <w:docPart w:val="E5C1C06F5C17854A885AE72C5CE9A9E5"/>
          </w:placeholder>
        </w:sdtPr>
        <w:sdtContent>
          <w:r>
            <w:rPr>
              <w:rStyle w:val="FootnoteReference"/>
              <w:rFonts w:ascii="Book Antiqua" w:hAnsi="Book Antiqua"/>
            </w:rPr>
            <w:footnoteReference w:id="7"/>
          </w:r>
        </w:sdtContent>
      </w:sdt>
      <w:r w:rsidRPr="00E749A2">
        <w:rPr>
          <w:rFonts w:ascii="Book Antiqua" w:hAnsi="Book Antiqua"/>
        </w:rPr>
        <w:t xml:space="preserve"> Dengan melibatkan LSM secara resmi dalam forum komunikasi pelayanan publik rumah sakit, pemerintah dapat menjembatani kepentingan masyarakat dengan kepentingan medis profesional tanpa memicu konflik.</w:t>
      </w:r>
    </w:p>
    <w:p w14:paraId="7CFC61A9" w14:textId="77777777" w:rsidR="00CB15F9" w:rsidRDefault="00CB15F9" w:rsidP="00CB15F9">
      <w:pPr>
        <w:spacing w:before="0"/>
        <w:ind w:firstLine="567"/>
        <w:rPr>
          <w:rFonts w:ascii="Book Antiqua" w:hAnsi="Book Antiqua"/>
        </w:rPr>
      </w:pPr>
      <w:r w:rsidRPr="005E55B8">
        <w:rPr>
          <w:rFonts w:ascii="Book Antiqua" w:hAnsi="Book Antiqua"/>
        </w:rPr>
        <w:t>Ketiga, pemerintah harus memperkuat perlindungan hukum bagi dokter. Pengawasan LSM yang agresif, tanpa memahami kaidah medis dan prosedur pelayanan kesehatan, berpotensi menyebabkan tekanan psikologis dan pencemaran reputasi terhadap dokter. Studi menunjukkan bahwa tenaga medis kerap menghadapi risiko kekerasan, pelecehan, dan intimidasi, baik dari pasien maupun pihak lain, yang dapat mengganggu pelaksanaan tugas medis</w:t>
      </w:r>
      <w:r>
        <w:rPr>
          <w:rFonts w:ascii="Book Antiqua" w:hAnsi="Book Antiqua"/>
        </w:rPr>
        <w:t>.</w:t>
      </w:r>
      <w:sdt>
        <w:sdtPr>
          <w:rPr>
            <w:rFonts w:ascii="Book Antiqua" w:hAnsi="Book Antiqua"/>
          </w:rPr>
          <w:tag w:val="MENDELEY_CITATION_v3_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"/>
          <w:id w:val="-319346294"/>
          <w:lock w:val="contentLocked"/>
          <w:placeholder>
            <w:docPart w:val="E5C1C06F5C17854A885AE72C5CE9A9E5"/>
          </w:placeholder>
        </w:sdtPr>
        <w:sdtContent>
          <w:r>
            <w:rPr>
              <w:rStyle w:val="FootnoteReference"/>
              <w:rFonts w:ascii="Book Antiqua" w:hAnsi="Book Antiqua"/>
            </w:rPr>
            <w:footnoteReference w:id="8"/>
          </w:r>
        </w:sdtContent>
      </w:sdt>
      <w:r>
        <w:rPr>
          <w:rFonts w:ascii="Book Antiqua" w:hAnsi="Book Antiqua"/>
        </w:rPr>
        <w:t xml:space="preserve"> </w:t>
      </w:r>
      <w:r w:rsidRPr="005E55B8">
        <w:rPr>
          <w:rFonts w:ascii="Book Antiqua" w:hAnsi="Book Antiqua"/>
        </w:rPr>
        <w:t>Di tengah situasi ini, Undang</w:t>
      </w:r>
      <w:r w:rsidRPr="005E55B8">
        <w:rPr>
          <w:rFonts w:ascii="Cambria Math" w:hAnsi="Cambria Math" w:cs="Cambria Math"/>
        </w:rPr>
        <w:t>‑</w:t>
      </w:r>
      <w:r w:rsidRPr="005E55B8">
        <w:rPr>
          <w:rFonts w:ascii="Book Antiqua" w:hAnsi="Book Antiqua"/>
        </w:rPr>
        <w:t>Undang Nomor 17 Tahun 2023 tentang Kesehatan seharusnya dimaksimalkan sebagai payung hukum yang menjamin ruang aman dan integritas profesional dokter, agar keputusan klinis tetap diambil secara otonom, objektif, dan bebas dari tekanan eksternal.</w:t>
      </w:r>
    </w:p>
    <w:p w14:paraId="2F2AF0EC" w14:textId="77777777" w:rsidR="00CB15F9" w:rsidRDefault="00CB15F9" w:rsidP="00CB15F9">
      <w:pPr>
        <w:spacing w:before="0"/>
        <w:ind w:firstLine="567"/>
        <w:rPr>
          <w:rFonts w:ascii="Book Antiqua" w:hAnsi="Book Antiqua"/>
        </w:rPr>
      </w:pPr>
      <w:r w:rsidRPr="00E749A2">
        <w:rPr>
          <w:rFonts w:ascii="Book Antiqua" w:hAnsi="Book Antiqua"/>
        </w:rPr>
        <w:t>Lebih jauh lagi, penyusunan mekanisme pengaduan yang terstandarisasi dan berbasis bukti menjadi salah satu solusi untuk mencegah tindakan LSM yang gegabah dalam menyebarkan informasi atau membuat tuntutan hukum. Hal ini dapat dilakukan dengan menyelaraskan peran LSM dalam ranah advokasi, bukan sebagai eksekutor penegakan hukum. Pemerintah perlu menegaskan bahwa laporan dugaan pelanggaran medis harus ditujukan kepada lembaga yang berwenang seperti Majelis Kehormatan Disiplin Kedokteran Indonesia (MKDKI) atau Komite Etik RS, bukan melalui media atau aksi massa. Pendekatan ini penting untuk menegakkan prinsip due process of law dalam sistem hukum Indonesia.</w:t>
      </w:r>
    </w:p>
    <w:p w14:paraId="361B23A1" w14:textId="7DAB4960" w:rsidR="00CB15F9" w:rsidRPr="00E749A2" w:rsidRDefault="00CB15F9" w:rsidP="00CB15F9">
      <w:pPr>
        <w:spacing w:before="0"/>
        <w:ind w:firstLine="567"/>
        <w:rPr>
          <w:rFonts w:ascii="Book Antiqua" w:hAnsi="Book Antiqua"/>
        </w:rPr>
      </w:pPr>
      <w:r w:rsidRPr="00E749A2">
        <w:rPr>
          <w:rFonts w:ascii="Book Antiqua" w:hAnsi="Book Antiqua"/>
        </w:rPr>
        <w:t xml:space="preserve">Dengan demikian, keseimbangan antara peran pengawasan LSM dan perlindungan profesi medis hanya dapat dicapai melalui regulasi yang ketat, kolaborasi yang terbuka, serta perlindungan hukum yang berlandaskan pada asas keadilan dan proporsionalitas. Pemerintah harus menjadi pihak yang aktif dalam </w:t>
      </w:r>
      <w:r w:rsidRPr="00E749A2">
        <w:rPr>
          <w:rFonts w:ascii="Book Antiqua" w:hAnsi="Book Antiqua"/>
        </w:rPr>
        <w:lastRenderedPageBreak/>
        <w:t>mengatur dan menjembatani peran-peran tersebut agar tidak terjadi ketimpangan kuasa yang justru merugikan kualitas pelayanan kesehatan dan kepercayaan masyarakat terhadap profesi dokter.</w:t>
      </w:r>
    </w:p>
    <w:p w14:paraId="5A5E9E5E" w14:textId="77777777" w:rsidR="006C3980" w:rsidRPr="006C3980" w:rsidRDefault="006C3980" w:rsidP="006C3980">
      <w:pPr>
        <w:pStyle w:val="ListParagraph"/>
        <w:spacing w:after="0"/>
        <w:ind w:left="426"/>
        <w:jc w:val="both"/>
        <w:rPr>
          <w:rFonts w:ascii="Book Antiqua" w:hAnsi="Book Antiqua"/>
          <w:sz w:val="24"/>
          <w:szCs w:val="24"/>
        </w:rPr>
      </w:pPr>
    </w:p>
    <w:p w14:paraId="7AEE6C9D" w14:textId="77777777" w:rsidR="003C28EC" w:rsidRPr="00712662" w:rsidRDefault="00D51303" w:rsidP="00712662">
      <w:pPr>
        <w:pStyle w:val="Heading1"/>
        <w:spacing w:before="0" w:line="276" w:lineRule="auto"/>
        <w:jc w:val="both"/>
        <w:rPr>
          <w:rFonts w:ascii="Book Antiqua" w:hAnsi="Book Antiqua"/>
          <w:b w:val="0"/>
          <w:color w:val="000000" w:themeColor="text1"/>
        </w:rPr>
      </w:pPr>
      <w:r w:rsidRPr="00712662">
        <w:rPr>
          <w:rFonts w:ascii="Book Antiqua" w:hAnsi="Book Antiqua"/>
          <w:color w:val="000000" w:themeColor="text1"/>
        </w:rPr>
        <w:t>KESIMPULAN</w:t>
      </w:r>
      <w:r w:rsidR="0062232C" w:rsidRPr="00712662">
        <w:rPr>
          <w:rFonts w:ascii="Book Antiqua" w:hAnsi="Book Antiqua"/>
          <w:color w:val="000000" w:themeColor="text1"/>
        </w:rPr>
        <w:t xml:space="preserve"> </w:t>
      </w:r>
    </w:p>
    <w:p w14:paraId="33F37212" w14:textId="77777777" w:rsidR="00CB15F9" w:rsidRDefault="00CB15F9" w:rsidP="00CB15F9">
      <w:pPr>
        <w:spacing w:before="0"/>
        <w:ind w:firstLine="567"/>
        <w:rPr>
          <w:rFonts w:ascii="Book Antiqua" w:hAnsi="Book Antiqua"/>
          <w:lang w:val="en-US"/>
        </w:rPr>
      </w:pPr>
      <w:r w:rsidRPr="00E749A2">
        <w:rPr>
          <w:rFonts w:ascii="Book Antiqua" w:hAnsi="Book Antiqua"/>
          <w:lang w:val="en-US"/>
        </w:rPr>
        <w:t>Perlindungan Hukum terhadap Dokter dari Tindakan Penyimpangan Lembaga Swadaya Masyarakat (LSM) dalam Pengawasan Pelayanan Kesehatan di Rumah Sakit, khususnya di RSUD Dr. H. Ibnu Sutowo Baturaja, telah dilaksanakan melalui upaya preventif yang bertujuan untuk memastikan terpenuhinya hak-hak pasien. Namun dalam praktiknya, terjadi ketidaksesuaian antara peran normatif LSM sebagai pengawas pelayanan publik dan peran faktual di lapangan. Penyimpangan yang sering terjadi antara lain berupa tindakan pengawasan tanpa izin, penyebaran informasi yang belum terverifikasi, serta tekanan terhadap tenaga medis, yang tidak jarang menimbulkan kerugian psikologis dan profesional bagi dokter.</w:t>
      </w:r>
    </w:p>
    <w:p w14:paraId="723EC604" w14:textId="77777777" w:rsidR="00CB15F9" w:rsidRDefault="00CB15F9" w:rsidP="00CB15F9">
      <w:pPr>
        <w:spacing w:before="0"/>
        <w:ind w:firstLine="567"/>
        <w:rPr>
          <w:rFonts w:ascii="Book Antiqua" w:hAnsi="Book Antiqua"/>
          <w:lang w:val="en-US"/>
        </w:rPr>
      </w:pPr>
      <w:r w:rsidRPr="00E749A2">
        <w:rPr>
          <w:rFonts w:ascii="Book Antiqua" w:hAnsi="Book Antiqua"/>
          <w:lang w:val="en-US"/>
        </w:rPr>
        <w:t>Untuk menjaga keseimbangan antara fungsi pengawasan LSM dan perlindungan terhadap independensi serta etika profesi medis, pemerintah perlu mengambil langkah strategis. Upaya yang dapat dilakukan antara lain adalah penguatan regulasi dan kebijakan, peningkatan kolaborasi antara LSM, rumah sakit, dan pemerintah, serta penyediaan pendampingan hukum bagi dokter. Penguatan regulasi bertujuan untuk memperjelas batas kewenangan LSM agar tidak menimbulkan intervensi yang melampaui prosedur. Sementara itu, kolaborasi lintas sektor diperlukan untuk membangun kepercayaan dan transparansi dalam pelaksanaan pengawasan pelayanan kesehatan.</w:t>
      </w:r>
    </w:p>
    <w:p w14:paraId="60C7ECCE" w14:textId="77777777" w:rsidR="00CB15F9" w:rsidRDefault="00CB15F9" w:rsidP="00CB15F9">
      <w:pPr>
        <w:spacing w:before="0"/>
        <w:ind w:firstLine="567"/>
        <w:rPr>
          <w:rFonts w:ascii="Book Antiqua" w:hAnsi="Book Antiqua"/>
          <w:lang w:val="en-US"/>
        </w:rPr>
      </w:pPr>
      <w:r w:rsidRPr="00E749A2">
        <w:rPr>
          <w:rFonts w:ascii="Book Antiqua" w:hAnsi="Book Antiqua"/>
          <w:lang w:val="en-US"/>
        </w:rPr>
        <w:t>Selain itu, pendampingan hukum bagi dokter menjadi sangat penting agar mereka dapat menjalankan tugas secara profesional tanpa tekanan dari pihak luar yang tidak berwenang. Upaya ini juga mendukung implementasi Undang-Undang Nomor 17 Tahun 2023 tentang Kesehatan, yang memberikan dasar hukum bagi perlindungan tenaga medis dari tindakan atau laporan yang tidak berdasar.</w:t>
      </w:r>
    </w:p>
    <w:p w14:paraId="547E205B" w14:textId="38F66D32" w:rsidR="00CB15F9" w:rsidRDefault="00CB15F9" w:rsidP="00CB15F9">
      <w:pPr>
        <w:spacing w:before="0"/>
        <w:ind w:firstLine="567"/>
        <w:rPr>
          <w:rFonts w:ascii="Book Antiqua" w:hAnsi="Book Antiqua"/>
          <w:lang w:val="en-US"/>
        </w:rPr>
      </w:pPr>
      <w:r w:rsidRPr="00E749A2">
        <w:rPr>
          <w:rFonts w:ascii="Book Antiqua" w:hAnsi="Book Antiqua"/>
          <w:lang w:val="en-US"/>
        </w:rPr>
        <w:t>Dengan menciptakan keseimbangan antara pengawasan yang efektif dan perlindungan terhadap integritas profesi medis, diharapkan kualitas pelayanan kesehatan di RSUD Dr. H. Ibnu Sutowo Baturaja dapat meningkat. Hal ini pada akhirnya akan membentuk sistem kesehatan yang lebih transparan, adil, dan profesional, serta menjaga kepercayaan masyarakat terhadap institusi kesehatan dan para tenaga medis yang berpraktik di dalamnya.</w:t>
      </w:r>
    </w:p>
    <w:p w14:paraId="0045C481" w14:textId="77777777" w:rsidR="003C28EC" w:rsidRPr="005F2CCD" w:rsidRDefault="003C28EC" w:rsidP="009C358F">
      <w:pPr>
        <w:spacing w:before="0" w:line="240" w:lineRule="auto"/>
        <w:rPr>
          <w:rFonts w:ascii="Book Antiqua" w:hAnsi="Book Antiqua"/>
          <w:sz w:val="21"/>
          <w:szCs w:val="21"/>
        </w:rPr>
      </w:pPr>
    </w:p>
    <w:p w14:paraId="0F902EC8" w14:textId="77777777" w:rsidR="003C28EC" w:rsidRPr="00712662" w:rsidRDefault="00D51303" w:rsidP="00712662">
      <w:pPr>
        <w:pStyle w:val="Heading1"/>
        <w:spacing w:before="0" w:line="276" w:lineRule="auto"/>
        <w:jc w:val="both"/>
        <w:rPr>
          <w:rFonts w:ascii="Book Antiqua" w:hAnsi="Book Antiqua"/>
          <w:color w:val="000000" w:themeColor="text1"/>
        </w:rPr>
      </w:pPr>
      <w:r w:rsidRPr="00712662">
        <w:rPr>
          <w:rFonts w:ascii="Book Antiqua" w:hAnsi="Book Antiqua"/>
          <w:color w:val="000000" w:themeColor="text1"/>
        </w:rPr>
        <w:t>DAFTAR PUSTAKA</w:t>
      </w:r>
    </w:p>
    <w:sdt>
      <w:sdtPr>
        <w:rPr>
          <w:rFonts w:ascii="Book Antiqua" w:hAnsi="Book Antiqua"/>
          <w:color w:val="000000"/>
          <w:lang w:val="en-US"/>
        </w:rPr>
        <w:tag w:val="MENDELEY_BIBLIOGRAPHY"/>
        <w:id w:val="-1296906604"/>
        <w:placeholder>
          <w:docPart w:val="99697B3B1ABE0A409A212AEA938E6E87"/>
        </w:placeholder>
      </w:sdtPr>
      <w:sdtContent>
        <w:p w14:paraId="67EC54FD" w14:textId="77777777" w:rsidR="00CB15F9" w:rsidRPr="005E55B8" w:rsidRDefault="00CB15F9" w:rsidP="00CB15F9">
          <w:pPr>
            <w:autoSpaceDE w:val="0"/>
            <w:autoSpaceDN w:val="0"/>
            <w:spacing w:before="0"/>
            <w:ind w:left="567" w:hanging="567"/>
            <w:rPr>
              <w:rFonts w:ascii="Book Antiqua" w:hAnsi="Book Antiqua"/>
              <w:color w:val="000000"/>
            </w:rPr>
          </w:pPr>
          <w:r w:rsidRPr="005E55B8">
            <w:rPr>
              <w:rFonts w:ascii="Book Antiqua" w:hAnsi="Book Antiqua"/>
              <w:color w:val="000000"/>
            </w:rPr>
            <w:t xml:space="preserve">Ansell, Chris, and Alison Gash. “Collaborative Governance in Theory and Practice.” </w:t>
          </w:r>
          <w:r w:rsidRPr="005E55B8">
            <w:rPr>
              <w:rFonts w:ascii="Book Antiqua" w:hAnsi="Book Antiqua"/>
              <w:i/>
              <w:iCs/>
              <w:color w:val="000000"/>
            </w:rPr>
            <w:t>Journal of Public Administration Research and Theory</w:t>
          </w:r>
          <w:r w:rsidRPr="005E55B8">
            <w:rPr>
              <w:rFonts w:ascii="Book Antiqua" w:hAnsi="Book Antiqua"/>
              <w:color w:val="000000"/>
            </w:rPr>
            <w:t xml:space="preserve"> 18, no. 4 (2008): 543–71. https://doi.org/10.1093/jopart/mum032.</w:t>
          </w:r>
        </w:p>
        <w:p w14:paraId="70855BAD" w14:textId="77777777" w:rsidR="00CB15F9" w:rsidRPr="005E55B8" w:rsidRDefault="00CB15F9" w:rsidP="00CB15F9">
          <w:pPr>
            <w:autoSpaceDE w:val="0"/>
            <w:autoSpaceDN w:val="0"/>
            <w:spacing w:before="0"/>
            <w:ind w:left="567" w:hanging="567"/>
            <w:rPr>
              <w:rFonts w:ascii="Book Antiqua" w:hAnsi="Book Antiqua"/>
              <w:color w:val="000000"/>
            </w:rPr>
          </w:pPr>
          <w:r w:rsidRPr="005E55B8">
            <w:rPr>
              <w:rFonts w:ascii="Book Antiqua" w:hAnsi="Book Antiqua"/>
              <w:color w:val="000000"/>
            </w:rPr>
            <w:t xml:space="preserve">Biddle, B. J. “Recent Developments in Role Theory.” </w:t>
          </w:r>
          <w:r w:rsidRPr="005E55B8">
            <w:rPr>
              <w:rFonts w:ascii="Book Antiqua" w:hAnsi="Book Antiqua"/>
              <w:i/>
              <w:iCs/>
              <w:color w:val="000000"/>
            </w:rPr>
            <w:t>Annual Review of Sociology</w:t>
          </w:r>
          <w:r w:rsidRPr="005E55B8">
            <w:rPr>
              <w:rFonts w:ascii="Book Antiqua" w:hAnsi="Book Antiqua"/>
              <w:color w:val="000000"/>
            </w:rPr>
            <w:t xml:space="preserve"> 12, no. 1 (1986): 67–92. https://doi.org/10.1146/annurev.so.12.080186.000435.</w:t>
          </w:r>
        </w:p>
        <w:p w14:paraId="471B0005" w14:textId="77777777" w:rsidR="00CB15F9" w:rsidRPr="005E55B8" w:rsidRDefault="00CB15F9" w:rsidP="00CB15F9">
          <w:pPr>
            <w:autoSpaceDE w:val="0"/>
            <w:autoSpaceDN w:val="0"/>
            <w:spacing w:before="0"/>
            <w:ind w:left="567" w:hanging="567"/>
            <w:rPr>
              <w:rFonts w:ascii="Book Antiqua" w:hAnsi="Book Antiqua"/>
              <w:color w:val="000000"/>
            </w:rPr>
          </w:pPr>
          <w:r w:rsidRPr="005E55B8">
            <w:rPr>
              <w:rFonts w:ascii="Book Antiqua" w:hAnsi="Book Antiqua"/>
              <w:color w:val="000000"/>
            </w:rPr>
            <w:t xml:space="preserve">Doshmangir, Leila, Arman Sanadghol, Edris Kakemam, and Reza Majdzadeh. “The Involvement of Non-Governmental Organisations in Achieving Health System Goals Based on the WHO Six Building Blocks: A Scoping Review on Global Evidence.” </w:t>
          </w:r>
          <w:r w:rsidRPr="005E55B8">
            <w:rPr>
              <w:rFonts w:ascii="Book Antiqua" w:hAnsi="Book Antiqua"/>
              <w:i/>
              <w:iCs/>
              <w:color w:val="000000"/>
            </w:rPr>
            <w:t>PLOS ONE</w:t>
          </w:r>
          <w:r w:rsidRPr="005E55B8">
            <w:rPr>
              <w:rFonts w:ascii="Book Antiqua" w:hAnsi="Book Antiqua"/>
              <w:color w:val="000000"/>
            </w:rPr>
            <w:t xml:space="preserve"> 20, no. 1 (2025): e0315592. https://doi.org/10.1371/journal.pone.0315592.</w:t>
          </w:r>
        </w:p>
        <w:p w14:paraId="71DCA98A" w14:textId="77777777" w:rsidR="00CB15F9" w:rsidRPr="005E55B8" w:rsidRDefault="00CB15F9" w:rsidP="00CB15F9">
          <w:pPr>
            <w:autoSpaceDE w:val="0"/>
            <w:autoSpaceDN w:val="0"/>
            <w:spacing w:before="0"/>
            <w:ind w:left="567" w:hanging="567"/>
            <w:rPr>
              <w:rFonts w:ascii="Book Antiqua" w:hAnsi="Book Antiqua"/>
              <w:color w:val="000000"/>
            </w:rPr>
          </w:pPr>
          <w:r w:rsidRPr="005E55B8">
            <w:rPr>
              <w:rFonts w:ascii="Book Antiqua" w:hAnsi="Book Antiqua"/>
              <w:color w:val="000000"/>
            </w:rPr>
            <w:lastRenderedPageBreak/>
            <w:t xml:space="preserve">Irvita, Misnah, Wijayono Hadi Sukrisno, Husni Thamrin, and Robi Rendra Tribuana. “PENGAWASAN PEMERINTAH TERHADAP PELANGGARAN YANG DILAKUKAN OLEH LEMBAGA SWADAYA MASYARAKAT (LSM).” </w:t>
          </w:r>
          <w:r w:rsidRPr="005E55B8">
            <w:rPr>
              <w:rFonts w:ascii="Book Antiqua" w:hAnsi="Book Antiqua"/>
              <w:i/>
              <w:iCs/>
              <w:color w:val="000000"/>
            </w:rPr>
            <w:t>Jurnal Legalitas</w:t>
          </w:r>
          <w:r w:rsidRPr="005E55B8">
            <w:rPr>
              <w:rFonts w:ascii="Book Antiqua" w:hAnsi="Book Antiqua"/>
              <w:color w:val="000000"/>
            </w:rPr>
            <w:t xml:space="preserve"> 2, no. 1 (2024): 1–13.</w:t>
          </w:r>
        </w:p>
        <w:p w14:paraId="3960F849" w14:textId="77777777" w:rsidR="00CB15F9" w:rsidRPr="005E55B8" w:rsidRDefault="00CB15F9" w:rsidP="00CB15F9">
          <w:pPr>
            <w:autoSpaceDE w:val="0"/>
            <w:autoSpaceDN w:val="0"/>
            <w:spacing w:before="0"/>
            <w:ind w:left="567" w:hanging="567"/>
            <w:rPr>
              <w:rFonts w:ascii="Book Antiqua" w:hAnsi="Book Antiqua"/>
              <w:color w:val="000000"/>
            </w:rPr>
          </w:pPr>
          <w:r w:rsidRPr="005E55B8">
            <w:rPr>
              <w:rFonts w:ascii="Book Antiqua" w:hAnsi="Book Antiqua"/>
              <w:color w:val="000000"/>
            </w:rPr>
            <w:t xml:space="preserve">Jalilvand, Mohammad Ali, Ahmad Reza Raeisi, and Nasrin Shaarbafchizadeh. “Hospital Governance Accountability Structure: A Scoping Review.” </w:t>
          </w:r>
          <w:r w:rsidRPr="005E55B8">
            <w:rPr>
              <w:rFonts w:ascii="Book Antiqua" w:hAnsi="Book Antiqua"/>
              <w:i/>
              <w:iCs/>
              <w:color w:val="000000"/>
            </w:rPr>
            <w:t>BMC Health Services Research</w:t>
          </w:r>
          <w:r w:rsidRPr="005E55B8">
            <w:rPr>
              <w:rFonts w:ascii="Book Antiqua" w:hAnsi="Book Antiqua"/>
              <w:color w:val="000000"/>
            </w:rPr>
            <w:t xml:space="preserve"> 24, no. 1 (2024). https://doi.org/10.1186/s12913-023-10135-0.</w:t>
          </w:r>
        </w:p>
        <w:p w14:paraId="5821EAC0" w14:textId="77777777" w:rsidR="00CB15F9" w:rsidRPr="005E55B8" w:rsidRDefault="00CB15F9" w:rsidP="00CB15F9">
          <w:pPr>
            <w:autoSpaceDE w:val="0"/>
            <w:autoSpaceDN w:val="0"/>
            <w:spacing w:before="0"/>
            <w:ind w:left="567" w:hanging="567"/>
            <w:rPr>
              <w:rFonts w:ascii="Book Antiqua" w:hAnsi="Book Antiqua"/>
              <w:color w:val="000000"/>
            </w:rPr>
          </w:pPr>
          <w:r w:rsidRPr="005E55B8">
            <w:rPr>
              <w:rFonts w:ascii="Book Antiqua" w:hAnsi="Book Antiqua"/>
              <w:color w:val="000000"/>
            </w:rPr>
            <w:t xml:space="preserve">Laismono, Stephanie Glory, Andika Persada Putera, and Asmuni Asmuni. “LEGAL PROTECTION FOR HEALTHCARE PROFESSIONALS AND HOSPITALS AGAINST PATIENT’ COMPLAINTS ON SOCIAL MEDIA.” </w:t>
          </w:r>
          <w:r w:rsidRPr="005E55B8">
            <w:rPr>
              <w:rFonts w:ascii="Book Antiqua" w:hAnsi="Book Antiqua"/>
              <w:i/>
              <w:iCs/>
              <w:color w:val="000000"/>
            </w:rPr>
            <w:t>JILPR Journal Indonesia Law and Policy Review</w:t>
          </w:r>
          <w:r w:rsidRPr="005E55B8">
            <w:rPr>
              <w:rFonts w:ascii="Book Antiqua" w:hAnsi="Book Antiqua"/>
              <w:color w:val="000000"/>
            </w:rPr>
            <w:t xml:space="preserve"> 6, no. 1 (2024): 83–91. https://doi.org/10.56371/jirpl.v6i1.299.</w:t>
          </w:r>
        </w:p>
        <w:p w14:paraId="2837A69C" w14:textId="77777777" w:rsidR="00CB15F9" w:rsidRPr="005E55B8" w:rsidRDefault="00CB15F9" w:rsidP="00CB15F9">
          <w:pPr>
            <w:autoSpaceDE w:val="0"/>
            <w:autoSpaceDN w:val="0"/>
            <w:spacing w:before="0"/>
            <w:ind w:left="567" w:hanging="567"/>
            <w:rPr>
              <w:rFonts w:ascii="Book Antiqua" w:hAnsi="Book Antiqua"/>
              <w:color w:val="000000"/>
            </w:rPr>
          </w:pPr>
          <w:r w:rsidRPr="005E55B8">
            <w:rPr>
              <w:rFonts w:ascii="Book Antiqua" w:hAnsi="Book Antiqua"/>
              <w:color w:val="000000"/>
            </w:rPr>
            <w:t xml:space="preserve">Nash, Louise M, Michele G Daly, Patrick J Kelly, Elizabeth H Van Ekert, Garry Walter, Merrilyn Walton, Simon M Willcock, and Chris C Tennant. “Factors Associated with Psychiatric Morbidity and Hazardous Alcohol Use in Australian Doctors.” </w:t>
          </w:r>
          <w:r w:rsidRPr="005E55B8">
            <w:rPr>
              <w:rFonts w:ascii="Book Antiqua" w:hAnsi="Book Antiqua"/>
              <w:i/>
              <w:iCs/>
              <w:color w:val="000000"/>
            </w:rPr>
            <w:t>Medical Journal of Australia</w:t>
          </w:r>
          <w:r w:rsidRPr="005E55B8">
            <w:rPr>
              <w:rFonts w:ascii="Book Antiqua" w:hAnsi="Book Antiqua"/>
              <w:color w:val="000000"/>
            </w:rPr>
            <w:t xml:space="preserve"> 193, no. 3 (2010): 161–66. https://doi.org/10.5694/j.1326-5377.2010.tb03837.x.</w:t>
          </w:r>
        </w:p>
        <w:p w14:paraId="79FF86DC" w14:textId="77777777" w:rsidR="00CB15F9" w:rsidRPr="005E55B8" w:rsidRDefault="00CB15F9" w:rsidP="00CB15F9">
          <w:pPr>
            <w:autoSpaceDE w:val="0"/>
            <w:autoSpaceDN w:val="0"/>
            <w:spacing w:before="0"/>
            <w:ind w:left="567" w:hanging="567"/>
            <w:rPr>
              <w:rFonts w:ascii="Book Antiqua" w:hAnsi="Book Antiqua"/>
              <w:color w:val="000000"/>
            </w:rPr>
          </w:pPr>
          <w:r w:rsidRPr="005E55B8">
            <w:rPr>
              <w:rFonts w:ascii="Book Antiqua" w:hAnsi="Book Antiqua"/>
              <w:color w:val="000000"/>
            </w:rPr>
            <w:t xml:space="preserve">Soekanto, Soerjono, and Sri Mamudji. </w:t>
          </w:r>
          <w:r w:rsidRPr="005E55B8">
            <w:rPr>
              <w:rFonts w:ascii="Book Antiqua" w:hAnsi="Book Antiqua"/>
              <w:i/>
              <w:iCs/>
              <w:color w:val="000000"/>
            </w:rPr>
            <w:t>Penelitian Hukum Normatif Suatu Tinjauan Singkat</w:t>
          </w:r>
          <w:r w:rsidRPr="005E55B8">
            <w:rPr>
              <w:rFonts w:ascii="Book Antiqua" w:hAnsi="Book Antiqua"/>
              <w:color w:val="000000"/>
            </w:rPr>
            <w:t>. Jakarta: Raja Grafindo Persada, 2010.</w:t>
          </w:r>
        </w:p>
        <w:p w14:paraId="5AE59E1B" w14:textId="77777777" w:rsidR="00CB15F9" w:rsidRDefault="00CB15F9" w:rsidP="00CB15F9">
          <w:pPr>
            <w:spacing w:before="0"/>
            <w:ind w:left="567" w:hanging="567"/>
            <w:rPr>
              <w:rFonts w:ascii="Book Antiqua" w:hAnsi="Book Antiqua"/>
              <w:color w:val="000000"/>
              <w:lang w:val="en-US"/>
            </w:rPr>
          </w:pPr>
          <w:r w:rsidRPr="005E55B8">
            <w:rPr>
              <w:rFonts w:ascii="Book Antiqua" w:hAnsi="Book Antiqua"/>
              <w:color w:val="000000"/>
            </w:rPr>
            <w:t> </w:t>
          </w:r>
        </w:p>
      </w:sdtContent>
    </w:sdt>
    <w:p w14:paraId="23485FAB" w14:textId="657F2D56" w:rsidR="000B64CD" w:rsidRDefault="000B64CD" w:rsidP="000B64CD">
      <w:pPr>
        <w:spacing w:before="0"/>
        <w:ind w:left="567" w:hanging="567"/>
        <w:rPr>
          <w:rFonts w:ascii="Book Antiqua" w:hAnsi="Book Antiqua"/>
          <w:color w:val="000000"/>
        </w:rPr>
      </w:pPr>
    </w:p>
    <w:p w14:paraId="2F471C59" w14:textId="13EB86BC" w:rsidR="004A33CA" w:rsidRDefault="004A33CA" w:rsidP="004A33CA">
      <w:pPr>
        <w:spacing w:before="0"/>
        <w:ind w:left="567" w:hanging="567"/>
        <w:rPr>
          <w:rFonts w:ascii="Book Antiqua" w:hAnsi="Book Antiqua"/>
          <w:bCs/>
          <w:color w:val="000000"/>
        </w:rPr>
      </w:pPr>
    </w:p>
    <w:p w14:paraId="5617531B" w14:textId="77777777" w:rsidR="003C28EC" w:rsidRPr="005F2CCD" w:rsidRDefault="003C28EC">
      <w:pPr>
        <w:widowControl w:val="0"/>
        <w:spacing w:before="0" w:line="240" w:lineRule="auto"/>
        <w:ind w:left="709" w:hanging="709"/>
        <w:rPr>
          <w:rFonts w:ascii="Book Antiqua" w:hAnsi="Book Antiqua"/>
          <w:color w:val="000000"/>
          <w:sz w:val="18"/>
          <w:szCs w:val="18"/>
        </w:rPr>
      </w:pPr>
    </w:p>
    <w:sectPr w:rsidR="003C28EC" w:rsidRPr="005F2CCD" w:rsidSect="00CB15F9">
      <w:footerReference w:type="even" r:id="rId9"/>
      <w:footerReference w:type="default" r:id="rId10"/>
      <w:headerReference w:type="first" r:id="rId11"/>
      <w:footerReference w:type="first" r:id="rId12"/>
      <w:pgSz w:w="11906" w:h="16838"/>
      <w:pgMar w:top="1701" w:right="1418" w:bottom="1418" w:left="1418" w:header="709" w:footer="709" w:gutter="0"/>
      <w:pgNumType w:start="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0623" w14:textId="77777777" w:rsidR="00E16ED8" w:rsidRDefault="00E16ED8">
      <w:pPr>
        <w:spacing w:before="0" w:line="240" w:lineRule="auto"/>
      </w:pPr>
      <w:r>
        <w:separator/>
      </w:r>
    </w:p>
  </w:endnote>
  <w:endnote w:type="continuationSeparator" w:id="0">
    <w:p w14:paraId="1EFC3FA5" w14:textId="77777777" w:rsidR="00E16ED8" w:rsidRDefault="00E16ED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dvOTc4d0b532">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D70E" w14:textId="77777777" w:rsidR="003C28EC" w:rsidRDefault="003C28EC">
    <w:pPr>
      <w:spacing w:before="0" w:line="240" w:lineRule="auto"/>
      <w:jc w:val="left"/>
      <w:rPr>
        <w:i/>
        <w:color w:val="000000"/>
        <w:sz w:val="16"/>
        <w:szCs w:val="16"/>
      </w:rPr>
    </w:pPr>
  </w:p>
  <w:p w14:paraId="753C1D6F" w14:textId="77777777" w:rsidR="003C28EC" w:rsidRDefault="003C28EC">
    <w:pPr>
      <w:spacing w:before="0" w:line="240" w:lineRule="auto"/>
      <w:jc w:val="left"/>
      <w:rPr>
        <w:i/>
        <w:color w:val="000000"/>
        <w:sz w:val="16"/>
        <w:szCs w:val="16"/>
      </w:rPr>
    </w:pPr>
  </w:p>
  <w:p w14:paraId="1E421427" w14:textId="77777777" w:rsidR="003C28EC" w:rsidRPr="000849E9" w:rsidRDefault="0013446F" w:rsidP="005C484E">
    <w:pPr>
      <w:spacing w:before="0" w:line="240" w:lineRule="auto"/>
      <w:jc w:val="left"/>
      <w:rPr>
        <w:rFonts w:ascii="Book Antiqua" w:hAnsi="Book Antiqua"/>
        <w:sz w:val="18"/>
        <w:szCs w:val="18"/>
      </w:rPr>
    </w:pPr>
    <w:r w:rsidRPr="000849E9">
      <w:rPr>
        <w:rFonts w:ascii="Book Antiqua" w:hAnsi="Book Antiqua"/>
        <w:iCs/>
        <w:color w:val="000000"/>
        <w:sz w:val="16"/>
        <w:szCs w:val="16"/>
      </w:rPr>
      <w:t xml:space="preserve">P-ISSN: </w:t>
    </w:r>
    <w:r w:rsidRPr="000849E9">
      <w:rPr>
        <w:rFonts w:ascii="Book Antiqua" w:hAnsi="Book Antiqua"/>
        <w:iCs/>
        <w:color w:val="000000" w:themeColor="text1"/>
        <w:sz w:val="16"/>
        <w:szCs w:val="16"/>
      </w:rPr>
      <w:t>2716-1455 E-ISSN: 2716-277X</w:t>
    </w:r>
    <w:r w:rsidRPr="000849E9">
      <w:rPr>
        <w:rFonts w:ascii="Book Antiqua" w:hAnsi="Book Antiqua"/>
        <w:i/>
        <w:color w:val="000000"/>
        <w:sz w:val="18"/>
        <w:szCs w:val="18"/>
      </w:rPr>
      <w:tab/>
    </w:r>
    <w:r w:rsidRPr="000849E9">
      <w:rPr>
        <w:rFonts w:ascii="Book Antiqua" w:hAnsi="Book Antiqua"/>
        <w:i/>
        <w:color w:val="000000"/>
        <w:sz w:val="18"/>
        <w:szCs w:val="18"/>
      </w:rPr>
      <w:tab/>
    </w:r>
    <w:r w:rsidRPr="000849E9">
      <w:rPr>
        <w:rFonts w:ascii="Book Antiqua" w:hAnsi="Book Antiqua"/>
        <w:i/>
        <w:color w:val="000000"/>
        <w:sz w:val="18"/>
        <w:szCs w:val="18"/>
      </w:rPr>
      <w:tab/>
    </w:r>
    <w:r w:rsidRPr="000849E9">
      <w:rPr>
        <w:rFonts w:ascii="Book Antiqua" w:hAnsi="Book Antiqua"/>
        <w:i/>
        <w:color w:val="000000"/>
        <w:sz w:val="18"/>
        <w:szCs w:val="18"/>
      </w:rPr>
      <w:tab/>
    </w:r>
    <w:r w:rsidRPr="000849E9">
      <w:rPr>
        <w:rFonts w:ascii="Book Antiqua" w:hAnsi="Book Antiqua"/>
        <w:i/>
        <w:color w:val="000000"/>
        <w:sz w:val="18"/>
        <w:szCs w:val="18"/>
      </w:rPr>
      <w:tab/>
    </w:r>
    <w:r w:rsidRPr="000849E9">
      <w:rPr>
        <w:rFonts w:ascii="Book Antiqua" w:hAnsi="Book Antiqua"/>
        <w:i/>
        <w:color w:val="000000"/>
        <w:sz w:val="18"/>
        <w:szCs w:val="18"/>
      </w:rPr>
      <w:tab/>
    </w:r>
    <w:r w:rsidRPr="000849E9">
      <w:rPr>
        <w:rFonts w:ascii="Book Antiqua" w:hAnsi="Book Antiqua"/>
        <w:i/>
        <w:color w:val="000000"/>
        <w:sz w:val="18"/>
        <w:szCs w:val="18"/>
      </w:rPr>
      <w:tab/>
    </w:r>
    <w:r w:rsidRPr="000849E9">
      <w:rPr>
        <w:rFonts w:ascii="Book Antiqua" w:hAnsi="Book Antiqua"/>
        <w:i/>
        <w:color w:val="000000"/>
        <w:sz w:val="18"/>
        <w:szCs w:val="18"/>
      </w:rPr>
      <w:tab/>
    </w:r>
    <w:r w:rsidRPr="000849E9">
      <w:rPr>
        <w:rFonts w:ascii="Book Antiqua" w:hAnsi="Book Antiqua"/>
        <w:i/>
        <w:color w:val="000000"/>
        <w:sz w:val="18"/>
        <w:szCs w:val="18"/>
      </w:rPr>
      <w:tab/>
    </w:r>
    <w:r w:rsidRPr="00E63AB1">
      <w:rPr>
        <w:sz w:val="18"/>
        <w:szCs w:val="18"/>
      </w:rPr>
      <w:fldChar w:fldCharType="begin"/>
    </w:r>
    <w:r w:rsidRPr="00E63AB1">
      <w:rPr>
        <w:sz w:val="18"/>
        <w:szCs w:val="18"/>
      </w:rPr>
      <w:instrText>PAGE</w:instrText>
    </w:r>
    <w:r w:rsidRPr="00E63AB1">
      <w:rPr>
        <w:sz w:val="18"/>
        <w:szCs w:val="18"/>
      </w:rPr>
      <w:fldChar w:fldCharType="separate"/>
    </w:r>
    <w:r w:rsidR="00D179F9" w:rsidRPr="00E63AB1">
      <w:rPr>
        <w:noProof/>
        <w:sz w:val="18"/>
        <w:szCs w:val="18"/>
      </w:rPr>
      <w:t>2</w:t>
    </w:r>
    <w:r w:rsidRPr="00E63AB1">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36DB" w14:textId="77777777" w:rsidR="003C28EC" w:rsidRDefault="00000000">
    <w:pPr>
      <w:tabs>
        <w:tab w:val="left" w:pos="5878"/>
      </w:tabs>
      <w:spacing w:before="0" w:line="240" w:lineRule="auto"/>
      <w:jc w:val="left"/>
      <w:rPr>
        <w:rFonts w:ascii="Calibri" w:eastAsia="Calibri" w:hAnsi="Calibri" w:cs="Calibri"/>
        <w:sz w:val="16"/>
        <w:szCs w:val="16"/>
      </w:rPr>
    </w:pPr>
    <w:r>
      <w:rPr>
        <w:rFonts w:ascii="Calibri" w:eastAsia="Calibri" w:hAnsi="Calibri" w:cs="Calibri"/>
        <w:sz w:val="16"/>
        <w:szCs w:val="16"/>
      </w:rPr>
      <w:tab/>
    </w:r>
  </w:p>
  <w:p w14:paraId="3D0337DD" w14:textId="77777777" w:rsidR="003C28EC" w:rsidRDefault="003C28EC">
    <w:pPr>
      <w:spacing w:before="0" w:line="240" w:lineRule="auto"/>
      <w:jc w:val="left"/>
      <w:rPr>
        <w:rFonts w:ascii="Calibri" w:eastAsia="Calibri" w:hAnsi="Calibri" w:cs="Calibri"/>
        <w:sz w:val="16"/>
        <w:szCs w:val="16"/>
      </w:rPr>
    </w:pPr>
  </w:p>
  <w:p w14:paraId="3F82FDFD" w14:textId="77777777" w:rsidR="003C28EC" w:rsidRDefault="003C28EC">
    <w:pPr>
      <w:tabs>
        <w:tab w:val="left" w:pos="1752"/>
      </w:tabs>
      <w:spacing w:before="0" w:line="240" w:lineRule="auto"/>
      <w:jc w:val="left"/>
      <w:rPr>
        <w:sz w:val="16"/>
        <w:szCs w:val="16"/>
      </w:rPr>
    </w:pPr>
  </w:p>
  <w:p w14:paraId="1F56B18C" w14:textId="77777777" w:rsidR="003C28EC" w:rsidRDefault="0013446F" w:rsidP="00E63AB1">
    <w:pPr>
      <w:tabs>
        <w:tab w:val="left" w:pos="7938"/>
      </w:tabs>
      <w:spacing w:before="0" w:line="240" w:lineRule="auto"/>
      <w:rPr>
        <w:sz w:val="16"/>
        <w:szCs w:val="16"/>
      </w:rPr>
    </w:pPr>
    <w:r w:rsidRPr="0013446F">
      <w:rPr>
        <w:iCs/>
        <w:color w:val="000000"/>
        <w:sz w:val="15"/>
        <w:szCs w:val="15"/>
      </w:rPr>
      <w:t>P-ISSN: 2716-1455 E-ISSN: 2716-277X</w:t>
    </w:r>
    <w:r w:rsidR="005C484E">
      <w:rPr>
        <w:i/>
        <w:sz w:val="16"/>
        <w:szCs w:val="16"/>
      </w:rPr>
      <w:tab/>
    </w:r>
    <w:r w:rsidR="005C484E">
      <w:rPr>
        <w:i/>
        <w:sz w:val="16"/>
        <w:szCs w:val="16"/>
      </w:rPr>
      <w:tab/>
      <w:t xml:space="preserve">      </w:t>
    </w:r>
    <w:r w:rsidR="005C484E" w:rsidRPr="00E63AB1">
      <w:rPr>
        <w:sz w:val="18"/>
        <w:szCs w:val="18"/>
      </w:rPr>
      <w:fldChar w:fldCharType="begin"/>
    </w:r>
    <w:r w:rsidR="005C484E" w:rsidRPr="00E63AB1">
      <w:rPr>
        <w:sz w:val="18"/>
        <w:szCs w:val="18"/>
      </w:rPr>
      <w:instrText>PAGE</w:instrText>
    </w:r>
    <w:r w:rsidR="005C484E" w:rsidRPr="00E63AB1">
      <w:rPr>
        <w:sz w:val="18"/>
        <w:szCs w:val="18"/>
      </w:rPr>
      <w:fldChar w:fldCharType="separate"/>
    </w:r>
    <w:r w:rsidR="005C484E" w:rsidRPr="00E63AB1">
      <w:rPr>
        <w:noProof/>
        <w:sz w:val="18"/>
        <w:szCs w:val="18"/>
      </w:rPr>
      <w:t>3</w:t>
    </w:r>
    <w:r w:rsidR="005C484E" w:rsidRPr="00E63AB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EEBA" w14:textId="77777777" w:rsidR="003C28EC" w:rsidRPr="000849E9" w:rsidRDefault="0013446F">
    <w:pPr>
      <w:tabs>
        <w:tab w:val="left" w:pos="8647"/>
      </w:tabs>
      <w:spacing w:before="0"/>
      <w:rPr>
        <w:b/>
        <w:i/>
        <w:sz w:val="18"/>
        <w:szCs w:val="18"/>
      </w:rPr>
    </w:pPr>
    <w:r w:rsidRPr="000849E9">
      <w:rPr>
        <w:rFonts w:ascii="Cambria" w:eastAsia="Cambria" w:hAnsi="Cambria" w:cs="Cambria"/>
        <w:iCs/>
        <w:sz w:val="18"/>
        <w:szCs w:val="18"/>
      </w:rPr>
      <w:t>Creative Commons Attribution-NonCommercial-ShareAlike 4.0 International (CC BY-NC-SA 4.0)</w:t>
    </w:r>
    <w:r w:rsidRPr="000849E9">
      <w:rPr>
        <w:i/>
        <w:sz w:val="18"/>
        <w:szCs w:val="18"/>
      </w:rPr>
      <w:tab/>
      <w:t xml:space="preserve">    </w:t>
    </w:r>
    <w:r w:rsidRPr="000849E9">
      <w:rPr>
        <w:sz w:val="18"/>
        <w:szCs w:val="18"/>
      </w:rPr>
      <w:fldChar w:fldCharType="begin"/>
    </w:r>
    <w:r w:rsidRPr="000849E9">
      <w:rPr>
        <w:sz w:val="18"/>
        <w:szCs w:val="18"/>
      </w:rPr>
      <w:instrText>PAGE</w:instrText>
    </w:r>
    <w:r w:rsidRPr="000849E9">
      <w:rPr>
        <w:sz w:val="18"/>
        <w:szCs w:val="18"/>
      </w:rPr>
      <w:fldChar w:fldCharType="separate"/>
    </w:r>
    <w:r w:rsidR="00D179F9" w:rsidRPr="000849E9">
      <w:rPr>
        <w:noProof/>
        <w:sz w:val="18"/>
        <w:szCs w:val="18"/>
      </w:rPr>
      <w:t>1</w:t>
    </w:r>
    <w:r w:rsidRPr="000849E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6C23" w14:textId="77777777" w:rsidR="00E16ED8" w:rsidRDefault="00E16ED8">
      <w:pPr>
        <w:spacing w:before="0" w:line="240" w:lineRule="auto"/>
      </w:pPr>
      <w:r>
        <w:separator/>
      </w:r>
    </w:p>
  </w:footnote>
  <w:footnote w:type="continuationSeparator" w:id="0">
    <w:p w14:paraId="69E7CDE2" w14:textId="77777777" w:rsidR="00E16ED8" w:rsidRDefault="00E16ED8">
      <w:pPr>
        <w:spacing w:before="0" w:line="240" w:lineRule="auto"/>
      </w:pPr>
      <w:r>
        <w:continuationSeparator/>
      </w:r>
    </w:p>
  </w:footnote>
  <w:footnote w:id="1">
    <w:p w14:paraId="361392A4" w14:textId="77777777" w:rsidR="00CB15F9" w:rsidRPr="00CB15F9" w:rsidRDefault="00CB15F9" w:rsidP="00CB15F9">
      <w:pPr>
        <w:pStyle w:val="FootnoteText"/>
        <w:spacing w:before="0"/>
        <w:ind w:firstLine="567"/>
        <w:rPr>
          <w:rFonts w:ascii="Book Antiqua" w:hAnsi="Book Antiqua"/>
          <w:lang w:val="en-US"/>
        </w:rPr>
      </w:pPr>
      <w:r w:rsidRPr="00CB15F9">
        <w:rPr>
          <w:rStyle w:val="FootnoteReference"/>
          <w:rFonts w:ascii="Book Antiqua" w:hAnsi="Book Antiqua"/>
        </w:rPr>
        <w:footnoteRef/>
      </w:r>
      <w:r w:rsidRPr="00CB15F9">
        <w:rPr>
          <w:rFonts w:ascii="Book Antiqua" w:hAnsi="Book Antiqua"/>
        </w:rPr>
        <w:t xml:space="preserve"> Misnah Irvita et al., “PENGAWASAN PEMERINTAH TERHADAP PELANGGARAN YANG DILAKUKAN OLEH LEMBAGA SWADAYA MASYARAKAT (LSM),” </w:t>
      </w:r>
      <w:r w:rsidRPr="00CB15F9">
        <w:rPr>
          <w:rFonts w:ascii="Book Antiqua" w:hAnsi="Book Antiqua"/>
          <w:i/>
          <w:iCs/>
        </w:rPr>
        <w:t>Jurnal Legalitas</w:t>
      </w:r>
      <w:r w:rsidRPr="00CB15F9">
        <w:rPr>
          <w:rFonts w:ascii="Book Antiqua" w:hAnsi="Book Antiqua"/>
        </w:rPr>
        <w:t xml:space="preserve"> 2, no. 1 (2024): 1–13.</w:t>
      </w:r>
    </w:p>
  </w:footnote>
  <w:footnote w:id="2">
    <w:p w14:paraId="27ED6476" w14:textId="77777777" w:rsidR="00CB15F9" w:rsidRPr="00CB15F9" w:rsidRDefault="00CB15F9" w:rsidP="00CB15F9">
      <w:pPr>
        <w:pStyle w:val="FootnoteText"/>
        <w:spacing w:before="0"/>
        <w:ind w:firstLine="567"/>
        <w:rPr>
          <w:rFonts w:ascii="Book Antiqua" w:hAnsi="Book Antiqua"/>
          <w:lang w:val="en-US"/>
        </w:rPr>
      </w:pPr>
      <w:r w:rsidRPr="00CB15F9">
        <w:rPr>
          <w:rStyle w:val="FootnoteReference"/>
          <w:rFonts w:ascii="Book Antiqua" w:hAnsi="Book Antiqua"/>
        </w:rPr>
        <w:footnoteRef/>
      </w:r>
      <w:r w:rsidRPr="00CB15F9">
        <w:rPr>
          <w:rFonts w:ascii="Book Antiqua" w:hAnsi="Book Antiqua"/>
        </w:rPr>
        <w:t xml:space="preserve"> Louise M Nash et al., “Factors Associated with Psychiatric Morbidity and Hazardous Alcohol Use in Australian Doctors,” </w:t>
      </w:r>
      <w:r w:rsidRPr="00CB15F9">
        <w:rPr>
          <w:rFonts w:ascii="Book Antiqua" w:hAnsi="Book Antiqua"/>
          <w:i/>
          <w:iCs/>
        </w:rPr>
        <w:t>Medical Journal of Australia</w:t>
      </w:r>
      <w:r w:rsidRPr="00CB15F9">
        <w:rPr>
          <w:rFonts w:ascii="Book Antiqua" w:hAnsi="Book Antiqua"/>
        </w:rPr>
        <w:t xml:space="preserve"> 193, no. 3 (2010): 161–66, https://doi.org/10.5694/j.1326-5377.2010.tb03837.x.</w:t>
      </w:r>
    </w:p>
  </w:footnote>
  <w:footnote w:id="3">
    <w:p w14:paraId="1BC238C2" w14:textId="77777777" w:rsidR="00CB15F9" w:rsidRPr="00CB15F9" w:rsidRDefault="00CB15F9" w:rsidP="00CB15F9">
      <w:pPr>
        <w:pStyle w:val="FootnoteText"/>
        <w:spacing w:before="0"/>
        <w:ind w:firstLine="567"/>
        <w:rPr>
          <w:rFonts w:ascii="Book Antiqua" w:hAnsi="Book Antiqua"/>
          <w:lang w:val="en-US"/>
        </w:rPr>
      </w:pPr>
      <w:r w:rsidRPr="00CB15F9">
        <w:rPr>
          <w:rStyle w:val="FootnoteReference"/>
          <w:rFonts w:ascii="Book Antiqua" w:hAnsi="Book Antiqua"/>
        </w:rPr>
        <w:footnoteRef/>
      </w:r>
      <w:r w:rsidRPr="00CB15F9">
        <w:rPr>
          <w:rFonts w:ascii="Book Antiqua" w:hAnsi="Book Antiqua"/>
        </w:rPr>
        <w:t xml:space="preserve"> Soerjono Soekanto and Sri Mamudji, </w:t>
      </w:r>
      <w:r w:rsidRPr="00CB15F9">
        <w:rPr>
          <w:rFonts w:ascii="Book Antiqua" w:hAnsi="Book Antiqua"/>
          <w:i/>
          <w:iCs/>
        </w:rPr>
        <w:t>Penelitian Hukum Normatif Suatu Tinjauan Singkat</w:t>
      </w:r>
      <w:r w:rsidRPr="00CB15F9">
        <w:rPr>
          <w:rFonts w:ascii="Book Antiqua" w:hAnsi="Book Antiqua"/>
        </w:rPr>
        <w:t xml:space="preserve"> (Jakarta: Raja Grafindo Persada, 2010).</w:t>
      </w:r>
    </w:p>
  </w:footnote>
  <w:footnote w:id="4">
    <w:p w14:paraId="4A329A40" w14:textId="77777777" w:rsidR="00CB15F9" w:rsidRPr="00CB15F9" w:rsidRDefault="00CB15F9" w:rsidP="00CB15F9">
      <w:pPr>
        <w:pStyle w:val="FootnoteText"/>
        <w:spacing w:before="0"/>
        <w:ind w:firstLine="567"/>
        <w:rPr>
          <w:rFonts w:ascii="Book Antiqua" w:hAnsi="Book Antiqua"/>
          <w:lang w:val="en-US"/>
        </w:rPr>
      </w:pPr>
      <w:r w:rsidRPr="00CB15F9">
        <w:rPr>
          <w:rStyle w:val="FootnoteReference"/>
          <w:rFonts w:ascii="Book Antiqua" w:hAnsi="Book Antiqua"/>
        </w:rPr>
        <w:footnoteRef/>
      </w:r>
      <w:r w:rsidRPr="00CB15F9">
        <w:rPr>
          <w:rFonts w:ascii="Book Antiqua" w:hAnsi="Book Antiqua"/>
        </w:rPr>
        <w:t xml:space="preserve"> Mohammad Ali Jalilvand, Ahmad Reza Raeisi, and Nasrin Shaarbafchizadeh, “Hospital Governance Accountability Structure: A Scoping Review,” </w:t>
      </w:r>
      <w:r w:rsidRPr="00CB15F9">
        <w:rPr>
          <w:rFonts w:ascii="Book Antiqua" w:hAnsi="Book Antiqua"/>
          <w:i/>
          <w:iCs/>
        </w:rPr>
        <w:t>BMC Health Services Research</w:t>
      </w:r>
      <w:r w:rsidRPr="00CB15F9">
        <w:rPr>
          <w:rFonts w:ascii="Book Antiqua" w:hAnsi="Book Antiqua"/>
        </w:rPr>
        <w:t xml:space="preserve"> 24, no. 1 (2024), https://doi.org/10.1186/s12913-023-10135-0.</w:t>
      </w:r>
    </w:p>
  </w:footnote>
  <w:footnote w:id="5">
    <w:p w14:paraId="12545D06" w14:textId="77777777" w:rsidR="00CB15F9" w:rsidRPr="00CB15F9" w:rsidRDefault="00CB15F9" w:rsidP="00CB15F9">
      <w:pPr>
        <w:pStyle w:val="FootnoteText"/>
        <w:spacing w:before="0"/>
        <w:ind w:firstLine="567"/>
        <w:rPr>
          <w:rFonts w:ascii="Book Antiqua" w:hAnsi="Book Antiqua"/>
          <w:lang w:val="en-US"/>
        </w:rPr>
      </w:pPr>
      <w:r w:rsidRPr="00CB15F9">
        <w:rPr>
          <w:rStyle w:val="FootnoteReference"/>
          <w:rFonts w:ascii="Book Antiqua" w:hAnsi="Book Antiqua"/>
        </w:rPr>
        <w:footnoteRef/>
      </w:r>
      <w:r w:rsidRPr="00CB15F9">
        <w:rPr>
          <w:rFonts w:ascii="Book Antiqua" w:hAnsi="Book Antiqua"/>
        </w:rPr>
        <w:t xml:space="preserve"> Leila Doshmangir et al., “The Involvement of Non-Governmental Organisations in Achieving Health System Goals Based on the WHO Six Building Blocks: A Scoping Review on Global Evidence,” </w:t>
      </w:r>
      <w:r w:rsidRPr="00CB15F9">
        <w:rPr>
          <w:rFonts w:ascii="Book Antiqua" w:hAnsi="Book Antiqua"/>
          <w:i/>
          <w:iCs/>
        </w:rPr>
        <w:t>PLOS ONE</w:t>
      </w:r>
      <w:r w:rsidRPr="00CB15F9">
        <w:rPr>
          <w:rFonts w:ascii="Book Antiqua" w:hAnsi="Book Antiqua"/>
        </w:rPr>
        <w:t xml:space="preserve"> 20, no. 1 (2025): e0315592, https://doi.org/10.1371/journal.pone.0315592.</w:t>
      </w:r>
    </w:p>
  </w:footnote>
  <w:footnote w:id="6">
    <w:p w14:paraId="49816581" w14:textId="77777777" w:rsidR="00CB15F9" w:rsidRPr="00CB15F9" w:rsidRDefault="00CB15F9" w:rsidP="00CB15F9">
      <w:pPr>
        <w:pStyle w:val="FootnoteText"/>
        <w:spacing w:before="0"/>
        <w:ind w:firstLine="567"/>
        <w:rPr>
          <w:rFonts w:ascii="Book Antiqua" w:hAnsi="Book Antiqua"/>
          <w:lang w:val="en-US"/>
        </w:rPr>
      </w:pPr>
      <w:r w:rsidRPr="00CB15F9">
        <w:rPr>
          <w:rStyle w:val="FootnoteReference"/>
          <w:rFonts w:ascii="Book Antiqua" w:hAnsi="Book Antiqua"/>
        </w:rPr>
        <w:footnoteRef/>
      </w:r>
      <w:r w:rsidRPr="00CB15F9">
        <w:rPr>
          <w:rFonts w:ascii="Book Antiqua" w:hAnsi="Book Antiqua"/>
        </w:rPr>
        <w:t xml:space="preserve"> B. J. Biddle, “Recent Developments in Role Theory,” </w:t>
      </w:r>
      <w:r w:rsidRPr="00CB15F9">
        <w:rPr>
          <w:rFonts w:ascii="Book Antiqua" w:hAnsi="Book Antiqua"/>
          <w:i/>
          <w:iCs/>
        </w:rPr>
        <w:t>Annual Review of Sociology</w:t>
      </w:r>
      <w:r w:rsidRPr="00CB15F9">
        <w:rPr>
          <w:rFonts w:ascii="Book Antiqua" w:hAnsi="Book Antiqua"/>
        </w:rPr>
        <w:t xml:space="preserve"> 12, no. 1 (1986): 67–92, https://doi.org/10.1146/annurev.so.12.080186.000435.</w:t>
      </w:r>
    </w:p>
  </w:footnote>
  <w:footnote w:id="7">
    <w:p w14:paraId="041FD3CB" w14:textId="77777777" w:rsidR="00CB15F9" w:rsidRPr="00CB15F9" w:rsidRDefault="00CB15F9" w:rsidP="00CB15F9">
      <w:pPr>
        <w:pStyle w:val="FootnoteText"/>
        <w:spacing w:before="0"/>
        <w:ind w:firstLine="567"/>
        <w:rPr>
          <w:rFonts w:ascii="Book Antiqua" w:hAnsi="Book Antiqua"/>
          <w:lang w:val="en-US"/>
        </w:rPr>
      </w:pPr>
      <w:r w:rsidRPr="00CB15F9">
        <w:rPr>
          <w:rStyle w:val="FootnoteReference"/>
          <w:rFonts w:ascii="Book Antiqua" w:hAnsi="Book Antiqua"/>
        </w:rPr>
        <w:footnoteRef/>
      </w:r>
      <w:r w:rsidRPr="00CB15F9">
        <w:rPr>
          <w:rFonts w:ascii="Book Antiqua" w:hAnsi="Book Antiqua"/>
        </w:rPr>
        <w:t xml:space="preserve"> Chris Ansell and Alison Gash, “Collaborative Governance in Theory and Practice,” </w:t>
      </w:r>
      <w:r w:rsidRPr="00CB15F9">
        <w:rPr>
          <w:rFonts w:ascii="Book Antiqua" w:hAnsi="Book Antiqua"/>
          <w:i/>
          <w:iCs/>
        </w:rPr>
        <w:t>Journal of Public Administration Research and Theory</w:t>
      </w:r>
      <w:r w:rsidRPr="00CB15F9">
        <w:rPr>
          <w:rFonts w:ascii="Book Antiqua" w:hAnsi="Book Antiqua"/>
        </w:rPr>
        <w:t xml:space="preserve"> 18, no. 4 (2008): 543–71, https://doi.org/10.1093/jopart/mum032.</w:t>
      </w:r>
    </w:p>
  </w:footnote>
  <w:footnote w:id="8">
    <w:p w14:paraId="540CC2A0" w14:textId="77777777" w:rsidR="00CB15F9" w:rsidRPr="005E55B8" w:rsidRDefault="00CB15F9" w:rsidP="00CB15F9">
      <w:pPr>
        <w:pStyle w:val="FootnoteText"/>
        <w:spacing w:before="0"/>
        <w:ind w:firstLine="567"/>
        <w:rPr>
          <w:lang w:val="en-US"/>
        </w:rPr>
      </w:pPr>
      <w:r w:rsidRPr="00CB15F9">
        <w:rPr>
          <w:rStyle w:val="FootnoteReference"/>
          <w:rFonts w:ascii="Book Antiqua" w:hAnsi="Book Antiqua"/>
        </w:rPr>
        <w:footnoteRef/>
      </w:r>
      <w:r w:rsidRPr="00CB15F9">
        <w:rPr>
          <w:rFonts w:ascii="Book Antiqua" w:hAnsi="Book Antiqua"/>
        </w:rPr>
        <w:t xml:space="preserve"> Stephanie Glory Laismono, Andika Persada Putera, and Asmuni Asmuni, “LEGAL PROTECTION FOR HEALTHCARE PROFESSIONALS AND HOSPITALS AGAINST PATIENT’ COMPLAINTS ON SOCIAL MEDIA,” </w:t>
      </w:r>
      <w:r w:rsidRPr="00CB15F9">
        <w:rPr>
          <w:rFonts w:ascii="Book Antiqua" w:hAnsi="Book Antiqua"/>
          <w:i/>
          <w:iCs/>
        </w:rPr>
        <w:t>JILPR Journal Indonesia Law and Policy Review</w:t>
      </w:r>
      <w:r w:rsidRPr="00CB15F9">
        <w:rPr>
          <w:rFonts w:ascii="Book Antiqua" w:hAnsi="Book Antiqua"/>
        </w:rPr>
        <w:t xml:space="preserve"> 6, no. 1 (2024): 83–91, https://doi.org/10.56371/jirpl.v6i1.299.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68A1" w14:textId="77777777" w:rsidR="003C28EC" w:rsidRDefault="00D60406">
    <w:pPr>
      <w:pBdr>
        <w:top w:val="single" w:sz="4" w:space="1" w:color="000000"/>
      </w:pBdr>
      <w:spacing w:before="0" w:line="240" w:lineRule="auto"/>
      <w:jc w:val="left"/>
      <w:rPr>
        <w:rFonts w:ascii="Cambria" w:eastAsia="Cambria" w:hAnsi="Cambria" w:cs="Cambria"/>
        <w:sz w:val="14"/>
        <w:szCs w:val="14"/>
      </w:rPr>
    </w:pPr>
    <w:r>
      <w:rPr>
        <w:noProof/>
      </w:rPr>
      <w:drawing>
        <wp:anchor distT="0" distB="0" distL="114300" distR="114300" simplePos="0" relativeHeight="251661312" behindDoc="0" locked="0" layoutInCell="1" allowOverlap="1" wp14:anchorId="27AEE62A" wp14:editId="7BC09C51">
          <wp:simplePos x="0" y="0"/>
          <wp:positionH relativeFrom="column">
            <wp:posOffset>-2808</wp:posOffset>
          </wp:positionH>
          <wp:positionV relativeFrom="paragraph">
            <wp:posOffset>-450215</wp:posOffset>
          </wp:positionV>
          <wp:extent cx="5753735" cy="864066"/>
          <wp:effectExtent l="0" t="0" r="0" b="0"/>
          <wp:wrapNone/>
          <wp:docPr id="420102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93426" name="Picture 1096893426"/>
                  <pic:cNvPicPr/>
                </pic:nvPicPr>
                <pic:blipFill>
                  <a:blip r:embed="rId1">
                    <a:extLst>
                      <a:ext uri="{28A0092B-C50C-407E-A947-70E740481C1C}">
                        <a14:useLocalDpi xmlns:a14="http://schemas.microsoft.com/office/drawing/2010/main" val="0"/>
                      </a:ext>
                    </a:extLst>
                  </a:blip>
                  <a:stretch>
                    <a:fillRect/>
                  </a:stretch>
                </pic:blipFill>
                <pic:spPr>
                  <a:xfrm>
                    <a:off x="0" y="0"/>
                    <a:ext cx="5768499" cy="866283"/>
                  </a:xfrm>
                  <a:prstGeom prst="rect">
                    <a:avLst/>
                  </a:prstGeom>
                </pic:spPr>
              </pic:pic>
            </a:graphicData>
          </a:graphic>
          <wp14:sizeRelH relativeFrom="page">
            <wp14:pctWidth>0</wp14:pctWidth>
          </wp14:sizeRelH>
          <wp14:sizeRelV relativeFrom="page">
            <wp14:pctHeight>0</wp14:pctHeight>
          </wp14:sizeRelV>
        </wp:anchor>
      </w:drawing>
    </w:r>
  </w:p>
  <w:p w14:paraId="5F28A853" w14:textId="77777777" w:rsidR="00D60406" w:rsidRDefault="00D60406">
    <w:pPr>
      <w:spacing w:before="0" w:line="240" w:lineRule="auto"/>
      <w:jc w:val="left"/>
      <w:rPr>
        <w:rFonts w:ascii="Cambria" w:eastAsia="Cambria" w:hAnsi="Cambria" w:cs="Cambria"/>
        <w:b/>
        <w:bCs/>
        <w:sz w:val="14"/>
        <w:szCs w:val="14"/>
      </w:rPr>
    </w:pPr>
  </w:p>
  <w:p w14:paraId="35CE6F11" w14:textId="77777777" w:rsidR="00D60406" w:rsidRDefault="00D60406">
    <w:pPr>
      <w:spacing w:before="0" w:line="240" w:lineRule="auto"/>
      <w:jc w:val="left"/>
      <w:rPr>
        <w:rFonts w:ascii="Cambria" w:eastAsia="Cambria" w:hAnsi="Cambria" w:cs="Cambria"/>
        <w:b/>
        <w:bCs/>
        <w:sz w:val="14"/>
        <w:szCs w:val="14"/>
      </w:rPr>
    </w:pPr>
  </w:p>
  <w:p w14:paraId="4B879CC4" w14:textId="77777777" w:rsidR="00D60406" w:rsidRDefault="00D60406">
    <w:pPr>
      <w:spacing w:before="0" w:line="240" w:lineRule="auto"/>
      <w:jc w:val="left"/>
      <w:rPr>
        <w:rFonts w:ascii="Cambria" w:eastAsia="Cambria" w:hAnsi="Cambria" w:cs="Cambria"/>
        <w:b/>
        <w:bCs/>
        <w:sz w:val="14"/>
        <w:szCs w:val="14"/>
      </w:rPr>
    </w:pPr>
  </w:p>
  <w:p w14:paraId="2C95F0E2" w14:textId="77777777" w:rsidR="00D60406" w:rsidRPr="000849E9" w:rsidRDefault="005B214A" w:rsidP="00D60406">
    <w:pPr>
      <w:spacing w:before="0" w:line="240" w:lineRule="auto"/>
      <w:rPr>
        <w:rFonts w:ascii="Book Antiqua" w:eastAsia="Cambria" w:hAnsi="Book Antiqua" w:cs="Cambria"/>
        <w:b/>
        <w:bCs/>
        <w:color w:val="000000" w:themeColor="text1"/>
        <w:sz w:val="20"/>
        <w:szCs w:val="20"/>
      </w:rPr>
    </w:pPr>
    <w:r w:rsidRPr="000849E9">
      <w:rPr>
        <w:rFonts w:ascii="Book Antiqua" w:eastAsia="Cambria" w:hAnsi="Book Antiqua" w:cs="Cambria"/>
        <w:b/>
        <w:bCs/>
        <w:color w:val="000000" w:themeColor="text1"/>
        <w:sz w:val="20"/>
        <w:szCs w:val="20"/>
      </w:rPr>
      <w:t>Iustitia Omnibus: Jurnal Ilmu Hukum</w:t>
    </w:r>
  </w:p>
  <w:p w14:paraId="0F46D43D" w14:textId="64342E8B" w:rsidR="003C28EC" w:rsidRPr="000849E9" w:rsidRDefault="00000000" w:rsidP="00D60406">
    <w:pPr>
      <w:spacing w:before="0" w:line="240" w:lineRule="auto"/>
      <w:rPr>
        <w:rFonts w:ascii="Book Antiqua" w:eastAsia="Cambria" w:hAnsi="Book Antiqua" w:cs="Cambria"/>
        <w:color w:val="000000" w:themeColor="text1"/>
        <w:sz w:val="16"/>
        <w:szCs w:val="16"/>
      </w:rPr>
    </w:pPr>
    <w:r w:rsidRPr="000849E9">
      <w:rPr>
        <w:rFonts w:ascii="Book Antiqua" w:eastAsia="Cambria" w:hAnsi="Book Antiqua" w:cs="Cambria"/>
        <w:color w:val="000000" w:themeColor="text1"/>
        <w:sz w:val="16"/>
        <w:szCs w:val="16"/>
      </w:rPr>
      <w:t xml:space="preserve">Volume </w:t>
    </w:r>
    <w:r w:rsidR="003D1A05">
      <w:rPr>
        <w:rFonts w:ascii="Book Antiqua" w:eastAsia="Cambria" w:hAnsi="Book Antiqua" w:cs="Cambria"/>
        <w:color w:val="000000" w:themeColor="text1"/>
        <w:sz w:val="16"/>
        <w:szCs w:val="16"/>
      </w:rPr>
      <w:t>6</w:t>
    </w:r>
    <w:r w:rsidRPr="000849E9">
      <w:rPr>
        <w:rFonts w:ascii="Book Antiqua" w:eastAsia="Cambria" w:hAnsi="Book Antiqua" w:cs="Cambria"/>
        <w:color w:val="000000" w:themeColor="text1"/>
        <w:sz w:val="16"/>
        <w:szCs w:val="16"/>
      </w:rPr>
      <w:t xml:space="preserve">, Number </w:t>
    </w:r>
    <w:r w:rsidR="00595E9E">
      <w:rPr>
        <w:rFonts w:ascii="Book Antiqua" w:eastAsia="Cambria" w:hAnsi="Book Antiqua" w:cs="Cambria"/>
        <w:color w:val="000000" w:themeColor="text1"/>
        <w:sz w:val="16"/>
        <w:szCs w:val="16"/>
      </w:rPr>
      <w:t>2</w:t>
    </w:r>
    <w:r w:rsidRPr="000849E9">
      <w:rPr>
        <w:rFonts w:ascii="Book Antiqua" w:eastAsia="Cambria" w:hAnsi="Book Antiqua" w:cs="Cambria"/>
        <w:color w:val="000000" w:themeColor="text1"/>
        <w:sz w:val="16"/>
        <w:szCs w:val="16"/>
      </w:rPr>
      <w:t>, 202</w:t>
    </w:r>
    <w:r w:rsidR="00595E9E">
      <w:rPr>
        <w:rFonts w:ascii="Book Antiqua" w:eastAsia="Cambria" w:hAnsi="Book Antiqua" w:cs="Cambria"/>
        <w:color w:val="000000" w:themeColor="text1"/>
        <w:sz w:val="16"/>
        <w:szCs w:val="16"/>
      </w:rPr>
      <w:t>5</w:t>
    </w:r>
    <w:r w:rsidRPr="000849E9">
      <w:rPr>
        <w:rFonts w:ascii="Book Antiqua" w:eastAsia="Cambria" w:hAnsi="Book Antiqua" w:cs="Cambria"/>
        <w:color w:val="000000" w:themeColor="text1"/>
        <w:sz w:val="16"/>
        <w:szCs w:val="16"/>
      </w:rPr>
      <w:t xml:space="preserve"> pp. </w:t>
    </w:r>
    <w:r w:rsidR="00CB15F9">
      <w:rPr>
        <w:rFonts w:ascii="Book Antiqua" w:eastAsia="Cambria" w:hAnsi="Book Antiqua" w:cs="Cambria"/>
        <w:color w:val="000000" w:themeColor="text1"/>
        <w:sz w:val="16"/>
        <w:szCs w:val="16"/>
      </w:rPr>
      <w:t>77</w:t>
    </w:r>
    <w:r w:rsidR="006C3980">
      <w:rPr>
        <w:rFonts w:ascii="Book Antiqua" w:eastAsia="Cambria" w:hAnsi="Book Antiqua" w:cs="Cambria"/>
        <w:color w:val="000000" w:themeColor="text1"/>
        <w:sz w:val="16"/>
        <w:szCs w:val="16"/>
      </w:rPr>
      <w:t>-</w:t>
    </w:r>
    <w:r w:rsidR="00CB15F9">
      <w:rPr>
        <w:rFonts w:ascii="Book Antiqua" w:eastAsia="Cambria" w:hAnsi="Book Antiqua" w:cs="Cambria"/>
        <w:color w:val="000000" w:themeColor="text1"/>
        <w:sz w:val="16"/>
        <w:szCs w:val="16"/>
      </w:rPr>
      <w:t>84</w:t>
    </w:r>
  </w:p>
  <w:p w14:paraId="2B48DC3D" w14:textId="77777777" w:rsidR="003C28EC" w:rsidRPr="000849E9" w:rsidRDefault="00000000" w:rsidP="00D60406">
    <w:pPr>
      <w:spacing w:before="0" w:line="240" w:lineRule="auto"/>
      <w:rPr>
        <w:rFonts w:ascii="Book Antiqua" w:eastAsia="Cambria" w:hAnsi="Book Antiqua" w:cs="Cambria"/>
        <w:color w:val="000000" w:themeColor="text1"/>
        <w:sz w:val="16"/>
        <w:szCs w:val="16"/>
      </w:rPr>
    </w:pPr>
    <w:r w:rsidRPr="000849E9">
      <w:rPr>
        <w:rFonts w:ascii="Book Antiqua" w:eastAsia="Cambria" w:hAnsi="Book Antiqua" w:cs="Cambria"/>
        <w:color w:val="000000" w:themeColor="text1"/>
        <w:sz w:val="16"/>
        <w:szCs w:val="16"/>
      </w:rPr>
      <w:t xml:space="preserve">P-ISSN: </w:t>
    </w:r>
    <w:r w:rsidR="005B214A" w:rsidRPr="000849E9">
      <w:rPr>
        <w:rFonts w:ascii="Book Antiqua" w:eastAsia="Cambria" w:hAnsi="Book Antiqua" w:cs="Cambria"/>
        <w:color w:val="000000" w:themeColor="text1"/>
        <w:sz w:val="16"/>
        <w:szCs w:val="16"/>
      </w:rPr>
      <w:t xml:space="preserve">2716-1455 </w:t>
    </w:r>
    <w:r w:rsidRPr="000849E9">
      <w:rPr>
        <w:rFonts w:ascii="Book Antiqua" w:eastAsia="Cambria" w:hAnsi="Book Antiqua" w:cs="Cambria"/>
        <w:color w:val="000000" w:themeColor="text1"/>
        <w:sz w:val="16"/>
        <w:szCs w:val="16"/>
      </w:rPr>
      <w:t xml:space="preserve">E-ISSN: </w:t>
    </w:r>
    <w:r w:rsidR="005B214A" w:rsidRPr="000849E9">
      <w:rPr>
        <w:rFonts w:ascii="Book Antiqua" w:eastAsia="Cambria" w:hAnsi="Book Antiqua" w:cs="Cambria"/>
        <w:color w:val="000000" w:themeColor="text1"/>
        <w:sz w:val="16"/>
        <w:szCs w:val="16"/>
      </w:rPr>
      <w:t>2716-277X</w:t>
    </w:r>
  </w:p>
  <w:p w14:paraId="2535CCDB" w14:textId="77777777" w:rsidR="003C28EC" w:rsidRPr="000849E9" w:rsidRDefault="00000000" w:rsidP="00D60406">
    <w:pPr>
      <w:pBdr>
        <w:bottom w:val="single" w:sz="12" w:space="1" w:color="000000"/>
      </w:pBdr>
      <w:spacing w:before="0" w:line="240" w:lineRule="auto"/>
      <w:rPr>
        <w:rFonts w:ascii="Book Antiqua" w:eastAsia="Cambria" w:hAnsi="Book Antiqua" w:cs="Cambria"/>
        <w:color w:val="0070C0"/>
        <w:sz w:val="16"/>
        <w:szCs w:val="16"/>
      </w:rPr>
    </w:pPr>
    <w:r w:rsidRPr="000849E9">
      <w:rPr>
        <w:rFonts w:ascii="Book Antiqua" w:eastAsia="Cambria" w:hAnsi="Book Antiqua" w:cs="Cambria"/>
        <w:color w:val="000000" w:themeColor="text1"/>
        <w:sz w:val="16"/>
        <w:szCs w:val="16"/>
      </w:rPr>
      <w:t xml:space="preserve">Open Access: </w:t>
    </w:r>
    <w:r w:rsidR="00253832" w:rsidRPr="00253832">
      <w:rPr>
        <w:rFonts w:ascii="Book Antiqua" w:eastAsia="Cambria" w:hAnsi="Book Antiqua" w:cs="Cambria"/>
        <w:color w:val="0070C0"/>
        <w:sz w:val="16"/>
        <w:szCs w:val="16"/>
      </w:rPr>
      <w:t>http://jurnal-pasca.unla.ac.id/index.php/iustitiaomnibus/index</w:t>
    </w:r>
  </w:p>
  <w:p w14:paraId="1C00A5FB" w14:textId="77777777" w:rsidR="003C28EC" w:rsidRDefault="003C28EC">
    <w:pPr>
      <w:pBdr>
        <w:top w:val="nil"/>
        <w:left w:val="nil"/>
        <w:bottom w:val="nil"/>
        <w:right w:val="nil"/>
        <w:between w:val="nil"/>
      </w:pBdr>
      <w:tabs>
        <w:tab w:val="right" w:pos="9270"/>
      </w:tabs>
      <w:spacing w:before="0" w:line="240" w:lineRule="auto"/>
      <w:ind w:right="158"/>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F0CA9"/>
    <w:multiLevelType w:val="hybridMultilevel"/>
    <w:tmpl w:val="3BC68016"/>
    <w:lvl w:ilvl="0" w:tplc="1C30C4EC">
      <w:numFmt w:val="bullet"/>
      <w:lvlText w:val="-"/>
      <w:lvlJc w:val="left"/>
      <w:pPr>
        <w:ind w:left="1800" w:hanging="360"/>
      </w:pPr>
      <w:rPr>
        <w:rFonts w:ascii="Times New Roman" w:eastAsia="Times New Roman" w:hAnsi="Times New Roman" w:cs="Times New Roman" w:hint="default"/>
        <w:color w:val="5B5B5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B4E1262"/>
    <w:multiLevelType w:val="multilevel"/>
    <w:tmpl w:val="C522541E"/>
    <w:lvl w:ilvl="0">
      <w:start w:val="1"/>
      <w:numFmt w:val="decimal"/>
      <w:pStyle w:val="Reference"/>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A641E3"/>
    <w:multiLevelType w:val="multilevel"/>
    <w:tmpl w:val="6D34E30A"/>
    <w:lvl w:ilvl="0">
      <w:start w:val="1"/>
      <w:numFmt w:val="decimal"/>
      <w:lvlText w:val="%1."/>
      <w:lvlJc w:val="left"/>
      <w:pPr>
        <w:tabs>
          <w:tab w:val="num" w:pos="720"/>
        </w:tabs>
        <w:ind w:left="720" w:hanging="360"/>
      </w:pPr>
      <w:rPr>
        <w:rFonts w:ascii="Book Antiqua" w:eastAsiaTheme="minorHAnsi" w:hAnsi="Book Antiqu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67740"/>
    <w:multiLevelType w:val="multilevel"/>
    <w:tmpl w:val="3FDA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C38B9"/>
    <w:multiLevelType w:val="multilevel"/>
    <w:tmpl w:val="9BB8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C733A"/>
    <w:multiLevelType w:val="multilevel"/>
    <w:tmpl w:val="86C0D2FA"/>
    <w:lvl w:ilvl="0">
      <w:start w:val="1"/>
      <w:numFmt w:val="decimal"/>
      <w:pStyle w:val="ba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A92B82"/>
    <w:multiLevelType w:val="multilevel"/>
    <w:tmpl w:val="C1D23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C1334C"/>
    <w:multiLevelType w:val="hybridMultilevel"/>
    <w:tmpl w:val="6B58A5FC"/>
    <w:lvl w:ilvl="0" w:tplc="398035C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F22814"/>
    <w:multiLevelType w:val="hybridMultilevel"/>
    <w:tmpl w:val="9A448818"/>
    <w:lvl w:ilvl="0" w:tplc="F168C94A">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3676094">
    <w:abstractNumId w:val="1"/>
  </w:num>
  <w:num w:numId="2" w16cid:durableId="466051955">
    <w:abstractNumId w:val="5"/>
  </w:num>
  <w:num w:numId="3" w16cid:durableId="1832869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2428709">
    <w:abstractNumId w:val="4"/>
  </w:num>
  <w:num w:numId="5" w16cid:durableId="1708413079">
    <w:abstractNumId w:val="3"/>
  </w:num>
  <w:num w:numId="6" w16cid:durableId="1674726061">
    <w:abstractNumId w:val="6"/>
  </w:num>
  <w:num w:numId="7" w16cid:durableId="1248222579">
    <w:abstractNumId w:val="8"/>
  </w:num>
  <w:num w:numId="8" w16cid:durableId="1275871147">
    <w:abstractNumId w:val="0"/>
  </w:num>
  <w:num w:numId="9" w16cid:durableId="1665402533">
    <w:abstractNumId w:val="7"/>
  </w:num>
  <w:num w:numId="10" w16cid:durableId="86155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EC"/>
    <w:rsid w:val="000167C6"/>
    <w:rsid w:val="000849E9"/>
    <w:rsid w:val="0008765A"/>
    <w:rsid w:val="000A1599"/>
    <w:rsid w:val="000A60E5"/>
    <w:rsid w:val="000B53B5"/>
    <w:rsid w:val="000B64CD"/>
    <w:rsid w:val="0013446F"/>
    <w:rsid w:val="00144A51"/>
    <w:rsid w:val="00150EA2"/>
    <w:rsid w:val="0018386C"/>
    <w:rsid w:val="001873B7"/>
    <w:rsid w:val="00195144"/>
    <w:rsid w:val="001D72D7"/>
    <w:rsid w:val="002158CE"/>
    <w:rsid w:val="00253832"/>
    <w:rsid w:val="00296391"/>
    <w:rsid w:val="002E09DD"/>
    <w:rsid w:val="00317C93"/>
    <w:rsid w:val="00336B54"/>
    <w:rsid w:val="003C28EC"/>
    <w:rsid w:val="003D1A05"/>
    <w:rsid w:val="00454089"/>
    <w:rsid w:val="00484AAA"/>
    <w:rsid w:val="004A33CA"/>
    <w:rsid w:val="004F7115"/>
    <w:rsid w:val="00506525"/>
    <w:rsid w:val="00536F75"/>
    <w:rsid w:val="00583103"/>
    <w:rsid w:val="00595E9E"/>
    <w:rsid w:val="00596BC6"/>
    <w:rsid w:val="005B214A"/>
    <w:rsid w:val="005C0210"/>
    <w:rsid w:val="005C484E"/>
    <w:rsid w:val="005E318C"/>
    <w:rsid w:val="005F2CCD"/>
    <w:rsid w:val="0062232C"/>
    <w:rsid w:val="006244B7"/>
    <w:rsid w:val="0063422B"/>
    <w:rsid w:val="00672314"/>
    <w:rsid w:val="00683075"/>
    <w:rsid w:val="006A46F8"/>
    <w:rsid w:val="006C0AAF"/>
    <w:rsid w:val="006C3980"/>
    <w:rsid w:val="00712662"/>
    <w:rsid w:val="00730152"/>
    <w:rsid w:val="00732F63"/>
    <w:rsid w:val="00783104"/>
    <w:rsid w:val="007C7EB2"/>
    <w:rsid w:val="0082244A"/>
    <w:rsid w:val="008238CA"/>
    <w:rsid w:val="0087716D"/>
    <w:rsid w:val="008A0C4F"/>
    <w:rsid w:val="008C600A"/>
    <w:rsid w:val="008F71DE"/>
    <w:rsid w:val="0093044B"/>
    <w:rsid w:val="009516E6"/>
    <w:rsid w:val="00956ABB"/>
    <w:rsid w:val="009736B4"/>
    <w:rsid w:val="00984BA5"/>
    <w:rsid w:val="00987B30"/>
    <w:rsid w:val="009A4038"/>
    <w:rsid w:val="009B1E97"/>
    <w:rsid w:val="009C358F"/>
    <w:rsid w:val="00A2609C"/>
    <w:rsid w:val="00A84C7E"/>
    <w:rsid w:val="00A96794"/>
    <w:rsid w:val="00AB6EB3"/>
    <w:rsid w:val="00B074CC"/>
    <w:rsid w:val="00B17F75"/>
    <w:rsid w:val="00B472FE"/>
    <w:rsid w:val="00B8037C"/>
    <w:rsid w:val="00B80426"/>
    <w:rsid w:val="00C05698"/>
    <w:rsid w:val="00C16A03"/>
    <w:rsid w:val="00C64D1F"/>
    <w:rsid w:val="00C67D83"/>
    <w:rsid w:val="00C72A16"/>
    <w:rsid w:val="00C91E2F"/>
    <w:rsid w:val="00CB15F9"/>
    <w:rsid w:val="00CF53A6"/>
    <w:rsid w:val="00D120D8"/>
    <w:rsid w:val="00D179F9"/>
    <w:rsid w:val="00D51303"/>
    <w:rsid w:val="00D60406"/>
    <w:rsid w:val="00D80E8C"/>
    <w:rsid w:val="00E1526C"/>
    <w:rsid w:val="00E16ED8"/>
    <w:rsid w:val="00E24AA1"/>
    <w:rsid w:val="00E61C7E"/>
    <w:rsid w:val="00E63AB1"/>
    <w:rsid w:val="00E71628"/>
    <w:rsid w:val="00E97C35"/>
    <w:rsid w:val="00ED5305"/>
    <w:rsid w:val="00F13128"/>
    <w:rsid w:val="00F519DB"/>
    <w:rsid w:val="00F967ED"/>
    <w:rsid w:val="00FA68F8"/>
    <w:rsid w:val="00FA7A7F"/>
    <w:rsid w:val="00FC0334"/>
    <w:rsid w:val="00FD0CC0"/>
    <w:rsid w:val="00FE03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8F98"/>
  <w15:docId w15:val="{70A2F4F9-0671-4248-9B32-EF93342B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US" w:bidi="ar-SA"/>
      </w:rPr>
    </w:rPrDefault>
    <w:pPrDefault>
      <w:pPr>
        <w:spacing w:before="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46"/>
    <w:pPr>
      <w:spacing w:line="260" w:lineRule="atLeast"/>
    </w:pPr>
    <w:rPr>
      <w:lang w:eastAsia="tr-TR"/>
    </w:rPr>
  </w:style>
  <w:style w:type="paragraph" w:styleId="Heading1">
    <w:name w:val="heading 1"/>
    <w:basedOn w:val="Normal"/>
    <w:next w:val="Normal"/>
    <w:uiPriority w:val="9"/>
    <w:qFormat/>
    <w:rsid w:val="006A2D46"/>
    <w:pPr>
      <w:keepNext/>
      <w:spacing w:before="240"/>
      <w:jc w:val="center"/>
      <w:outlineLvl w:val="0"/>
    </w:pPr>
    <w:rPr>
      <w:b/>
      <w:caps/>
    </w:rPr>
  </w:style>
  <w:style w:type="paragraph" w:styleId="Heading2">
    <w:name w:val="heading 2"/>
    <w:aliases w:val="main heading"/>
    <w:basedOn w:val="Normal"/>
    <w:next w:val="Normal"/>
    <w:uiPriority w:val="9"/>
    <w:semiHidden/>
    <w:unhideWhenUsed/>
    <w:qFormat/>
    <w:rsid w:val="006A2D46"/>
    <w:pPr>
      <w:keepNext/>
      <w:spacing w:before="200"/>
      <w:jc w:val="center"/>
      <w:outlineLvl w:val="1"/>
    </w:pPr>
    <w:rPr>
      <w:b/>
      <w:sz w:val="28"/>
    </w:rPr>
  </w:style>
  <w:style w:type="paragraph" w:styleId="Heading3">
    <w:name w:val="heading 3"/>
    <w:aliases w:val="sub heading"/>
    <w:basedOn w:val="Normal"/>
    <w:next w:val="Normal"/>
    <w:uiPriority w:val="9"/>
    <w:semiHidden/>
    <w:unhideWhenUsed/>
    <w:qFormat/>
    <w:rsid w:val="006A2D46"/>
    <w:pPr>
      <w:keepNext/>
      <w:spacing w:before="200"/>
      <w:jc w:val="left"/>
      <w:outlineLvl w:val="2"/>
    </w:pPr>
    <w:rPr>
      <w:b/>
      <w:i/>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uiPriority w:val="99"/>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aliases w:val=" Char Char, Char Char Char Char, Char Char Char,Char Char Char,Char Char,Char Char Char Char,Char1 Char Char Char Char Char Char Char Char Char Char Char Char Char Char,Char Char Char Char Char Char,Char Char1,Footnote Text Char1 Char"/>
    <w:basedOn w:val="Normal"/>
    <w:link w:val="FootnoteTextChar"/>
    <w:uiPriority w:val="99"/>
    <w:rsid w:val="00911328"/>
    <w:rPr>
      <w:sz w:val="20"/>
    </w:rPr>
  </w:style>
  <w:style w:type="character" w:customStyle="1" w:styleId="FootnoteTextChar">
    <w:name w:val="Footnote Text Char"/>
    <w:aliases w:val=" Char Char Char1, Char Char Char Char Char, Char Char Char Char1,Char Char Char Char1,Char Char Char1,Char Char Char Char Char,Char1 Char Char Char Char Char Char Char Char Char Char Char Char Char Char Char,Char Char1 Char"/>
    <w:basedOn w:val="DefaultParagraphFont"/>
    <w:link w:val="FootnoteText"/>
    <w:uiPriority w:val="99"/>
    <w:rsid w:val="00911328"/>
    <w:rPr>
      <w:rFonts w:ascii="Times New Roman" w:hAnsi="Times New Roman"/>
      <w:lang w:val="en-AU"/>
    </w:rPr>
  </w:style>
  <w:style w:type="character" w:styleId="FootnoteReference">
    <w:name w:val="footnote reference"/>
    <w:aliases w:val="fr"/>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color w:val="000000"/>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qFormat/>
    <w:rsid w:val="000F0D1C"/>
    <w:pPr>
      <w:ind w:left="8221" w:hanging="8204"/>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styleId="PlainTable2">
    <w:name w:val="Plain Table 2"/>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eastAsia="Calibri"/>
      <w:color w:val="000000"/>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tabs>
        <w:tab w:val="num" w:pos="360"/>
      </w:tabs>
      <w:spacing w:before="0" w:after="0" w:line="240" w:lineRule="auto"/>
      <w:ind w:left="252"/>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
    <w:uiPriority w:val="42"/>
    <w:rsid w:val="005153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rPr>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60" w:lineRule="auto"/>
      <w:ind w:left="8221" w:firstLine="283"/>
    </w:pPr>
    <w:rPr>
      <w:rFonts w:ascii="Calibri" w:eastAsia="Calibri" w:hAnsi="Calibri" w:cs="Calibri"/>
      <w:color w:val="000000"/>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relative">
    <w:name w:val="relative"/>
    <w:basedOn w:val="DefaultParagraphFont"/>
    <w:rsid w:val="004A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5381">
      <w:bodyDiv w:val="1"/>
      <w:marLeft w:val="0"/>
      <w:marRight w:val="0"/>
      <w:marTop w:val="0"/>
      <w:marBottom w:val="0"/>
      <w:divBdr>
        <w:top w:val="none" w:sz="0" w:space="0" w:color="auto"/>
        <w:left w:val="none" w:sz="0" w:space="0" w:color="auto"/>
        <w:bottom w:val="none" w:sz="0" w:space="0" w:color="auto"/>
        <w:right w:val="none" w:sz="0" w:space="0" w:color="auto"/>
      </w:divBdr>
    </w:div>
    <w:div w:id="337584030">
      <w:bodyDiv w:val="1"/>
      <w:marLeft w:val="0"/>
      <w:marRight w:val="0"/>
      <w:marTop w:val="0"/>
      <w:marBottom w:val="0"/>
      <w:divBdr>
        <w:top w:val="none" w:sz="0" w:space="0" w:color="auto"/>
        <w:left w:val="none" w:sz="0" w:space="0" w:color="auto"/>
        <w:bottom w:val="none" w:sz="0" w:space="0" w:color="auto"/>
        <w:right w:val="none" w:sz="0" w:space="0" w:color="auto"/>
      </w:divBdr>
    </w:div>
    <w:div w:id="393624020">
      <w:bodyDiv w:val="1"/>
      <w:marLeft w:val="0"/>
      <w:marRight w:val="0"/>
      <w:marTop w:val="0"/>
      <w:marBottom w:val="0"/>
      <w:divBdr>
        <w:top w:val="none" w:sz="0" w:space="0" w:color="auto"/>
        <w:left w:val="none" w:sz="0" w:space="0" w:color="auto"/>
        <w:bottom w:val="none" w:sz="0" w:space="0" w:color="auto"/>
        <w:right w:val="none" w:sz="0" w:space="0" w:color="auto"/>
      </w:divBdr>
    </w:div>
    <w:div w:id="504512112">
      <w:bodyDiv w:val="1"/>
      <w:marLeft w:val="0"/>
      <w:marRight w:val="0"/>
      <w:marTop w:val="0"/>
      <w:marBottom w:val="0"/>
      <w:divBdr>
        <w:top w:val="none" w:sz="0" w:space="0" w:color="auto"/>
        <w:left w:val="none" w:sz="0" w:space="0" w:color="auto"/>
        <w:bottom w:val="none" w:sz="0" w:space="0" w:color="auto"/>
        <w:right w:val="none" w:sz="0" w:space="0" w:color="auto"/>
      </w:divBdr>
    </w:div>
    <w:div w:id="601494031">
      <w:bodyDiv w:val="1"/>
      <w:marLeft w:val="0"/>
      <w:marRight w:val="0"/>
      <w:marTop w:val="0"/>
      <w:marBottom w:val="0"/>
      <w:divBdr>
        <w:top w:val="none" w:sz="0" w:space="0" w:color="auto"/>
        <w:left w:val="none" w:sz="0" w:space="0" w:color="auto"/>
        <w:bottom w:val="none" w:sz="0" w:space="0" w:color="auto"/>
        <w:right w:val="none" w:sz="0" w:space="0" w:color="auto"/>
      </w:divBdr>
    </w:div>
    <w:div w:id="642200199">
      <w:bodyDiv w:val="1"/>
      <w:marLeft w:val="0"/>
      <w:marRight w:val="0"/>
      <w:marTop w:val="0"/>
      <w:marBottom w:val="0"/>
      <w:divBdr>
        <w:top w:val="none" w:sz="0" w:space="0" w:color="auto"/>
        <w:left w:val="none" w:sz="0" w:space="0" w:color="auto"/>
        <w:bottom w:val="none" w:sz="0" w:space="0" w:color="auto"/>
        <w:right w:val="none" w:sz="0" w:space="0" w:color="auto"/>
      </w:divBdr>
    </w:div>
    <w:div w:id="852914464">
      <w:bodyDiv w:val="1"/>
      <w:marLeft w:val="0"/>
      <w:marRight w:val="0"/>
      <w:marTop w:val="0"/>
      <w:marBottom w:val="0"/>
      <w:divBdr>
        <w:top w:val="none" w:sz="0" w:space="0" w:color="auto"/>
        <w:left w:val="none" w:sz="0" w:space="0" w:color="auto"/>
        <w:bottom w:val="none" w:sz="0" w:space="0" w:color="auto"/>
        <w:right w:val="none" w:sz="0" w:space="0" w:color="auto"/>
      </w:divBdr>
    </w:div>
    <w:div w:id="999232560">
      <w:bodyDiv w:val="1"/>
      <w:marLeft w:val="0"/>
      <w:marRight w:val="0"/>
      <w:marTop w:val="0"/>
      <w:marBottom w:val="0"/>
      <w:divBdr>
        <w:top w:val="none" w:sz="0" w:space="0" w:color="auto"/>
        <w:left w:val="none" w:sz="0" w:space="0" w:color="auto"/>
        <w:bottom w:val="none" w:sz="0" w:space="0" w:color="auto"/>
        <w:right w:val="none" w:sz="0" w:space="0" w:color="auto"/>
      </w:divBdr>
    </w:div>
    <w:div w:id="1095637091">
      <w:bodyDiv w:val="1"/>
      <w:marLeft w:val="0"/>
      <w:marRight w:val="0"/>
      <w:marTop w:val="0"/>
      <w:marBottom w:val="0"/>
      <w:divBdr>
        <w:top w:val="none" w:sz="0" w:space="0" w:color="auto"/>
        <w:left w:val="none" w:sz="0" w:space="0" w:color="auto"/>
        <w:bottom w:val="none" w:sz="0" w:space="0" w:color="auto"/>
        <w:right w:val="none" w:sz="0" w:space="0" w:color="auto"/>
      </w:divBdr>
    </w:div>
    <w:div w:id="1193491711">
      <w:bodyDiv w:val="1"/>
      <w:marLeft w:val="0"/>
      <w:marRight w:val="0"/>
      <w:marTop w:val="0"/>
      <w:marBottom w:val="0"/>
      <w:divBdr>
        <w:top w:val="none" w:sz="0" w:space="0" w:color="auto"/>
        <w:left w:val="none" w:sz="0" w:space="0" w:color="auto"/>
        <w:bottom w:val="none" w:sz="0" w:space="0" w:color="auto"/>
        <w:right w:val="none" w:sz="0" w:space="0" w:color="auto"/>
      </w:divBdr>
    </w:div>
    <w:div w:id="1625305032">
      <w:bodyDiv w:val="1"/>
      <w:marLeft w:val="0"/>
      <w:marRight w:val="0"/>
      <w:marTop w:val="0"/>
      <w:marBottom w:val="0"/>
      <w:divBdr>
        <w:top w:val="none" w:sz="0" w:space="0" w:color="auto"/>
        <w:left w:val="none" w:sz="0" w:space="0" w:color="auto"/>
        <w:bottom w:val="none" w:sz="0" w:space="0" w:color="auto"/>
        <w:right w:val="none" w:sz="0" w:space="0" w:color="auto"/>
      </w:divBdr>
    </w:div>
    <w:div w:id="1750493051">
      <w:bodyDiv w:val="1"/>
      <w:marLeft w:val="0"/>
      <w:marRight w:val="0"/>
      <w:marTop w:val="0"/>
      <w:marBottom w:val="0"/>
      <w:divBdr>
        <w:top w:val="none" w:sz="0" w:space="0" w:color="auto"/>
        <w:left w:val="none" w:sz="0" w:space="0" w:color="auto"/>
        <w:bottom w:val="none" w:sz="0" w:space="0" w:color="auto"/>
        <w:right w:val="none" w:sz="0" w:space="0" w:color="auto"/>
      </w:divBdr>
    </w:div>
    <w:div w:id="2014406640">
      <w:bodyDiv w:val="1"/>
      <w:marLeft w:val="0"/>
      <w:marRight w:val="0"/>
      <w:marTop w:val="0"/>
      <w:marBottom w:val="0"/>
      <w:divBdr>
        <w:top w:val="none" w:sz="0" w:space="0" w:color="auto"/>
        <w:left w:val="none" w:sz="0" w:space="0" w:color="auto"/>
        <w:bottom w:val="none" w:sz="0" w:space="0" w:color="auto"/>
        <w:right w:val="none" w:sz="0" w:space="0" w:color="auto"/>
      </w:divBdr>
    </w:div>
    <w:div w:id="2122145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1ABE9BBD87F458880FF398D0B1062"/>
        <w:category>
          <w:name w:val="General"/>
          <w:gallery w:val="placeholder"/>
        </w:category>
        <w:types>
          <w:type w:val="bbPlcHdr"/>
        </w:types>
        <w:behaviors>
          <w:behavior w:val="content"/>
        </w:behaviors>
        <w:guid w:val="{AC3A4618-D606-3B4D-97E1-2D93D9813E54}"/>
      </w:docPartPr>
      <w:docPartBody>
        <w:p w:rsidR="00B434A8" w:rsidRDefault="006C7CBA" w:rsidP="006C7CBA">
          <w:pPr>
            <w:pStyle w:val="2E71ABE9BBD87F458880FF398D0B1062"/>
          </w:pPr>
          <w:r w:rsidRPr="001C1C0F">
            <w:rPr>
              <w:rStyle w:val="PlaceholderText"/>
            </w:rPr>
            <w:t>Click or tap here to enter text.</w:t>
          </w:r>
        </w:p>
      </w:docPartBody>
    </w:docPart>
    <w:docPart>
      <w:docPartPr>
        <w:name w:val="0BB63A381575594C9E162F942F2CE9B3"/>
        <w:category>
          <w:name w:val="General"/>
          <w:gallery w:val="placeholder"/>
        </w:category>
        <w:types>
          <w:type w:val="bbPlcHdr"/>
        </w:types>
        <w:behaviors>
          <w:behavior w:val="content"/>
        </w:behaviors>
        <w:guid w:val="{E899988A-5516-7249-B792-79936A45C994}"/>
      </w:docPartPr>
      <w:docPartBody>
        <w:p w:rsidR="00B434A8" w:rsidRDefault="006C7CBA" w:rsidP="006C7CBA">
          <w:pPr>
            <w:pStyle w:val="0BB63A381575594C9E162F942F2CE9B3"/>
          </w:pPr>
          <w:r w:rsidRPr="001C1C0F">
            <w:rPr>
              <w:rStyle w:val="PlaceholderText"/>
            </w:rPr>
            <w:t>Click or tap here to enter text.</w:t>
          </w:r>
        </w:p>
      </w:docPartBody>
    </w:docPart>
    <w:docPart>
      <w:docPartPr>
        <w:name w:val="E5C1C06F5C17854A885AE72C5CE9A9E5"/>
        <w:category>
          <w:name w:val="General"/>
          <w:gallery w:val="placeholder"/>
        </w:category>
        <w:types>
          <w:type w:val="bbPlcHdr"/>
        </w:types>
        <w:behaviors>
          <w:behavior w:val="content"/>
        </w:behaviors>
        <w:guid w:val="{4F7E456F-8481-6C4D-8440-647D7A711D84}"/>
      </w:docPartPr>
      <w:docPartBody>
        <w:p w:rsidR="00B434A8" w:rsidRDefault="006C7CBA" w:rsidP="006C7CBA">
          <w:pPr>
            <w:pStyle w:val="E5C1C06F5C17854A885AE72C5CE9A9E5"/>
          </w:pPr>
          <w:r w:rsidRPr="001C1C0F">
            <w:rPr>
              <w:rStyle w:val="PlaceholderText"/>
            </w:rPr>
            <w:t>Click or tap here to enter text.</w:t>
          </w:r>
        </w:p>
      </w:docPartBody>
    </w:docPart>
    <w:docPart>
      <w:docPartPr>
        <w:name w:val="99697B3B1ABE0A409A212AEA938E6E87"/>
        <w:category>
          <w:name w:val="General"/>
          <w:gallery w:val="placeholder"/>
        </w:category>
        <w:types>
          <w:type w:val="bbPlcHdr"/>
        </w:types>
        <w:behaviors>
          <w:behavior w:val="content"/>
        </w:behaviors>
        <w:guid w:val="{2DF19828-C436-1F4B-B010-A49D02003F7F}"/>
      </w:docPartPr>
      <w:docPartBody>
        <w:p w:rsidR="00B434A8" w:rsidRDefault="006C7CBA" w:rsidP="006C7CBA">
          <w:pPr>
            <w:pStyle w:val="99697B3B1ABE0A409A212AEA938E6E87"/>
          </w:pPr>
          <w:r w:rsidRPr="001C1C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dvOTc4d0b532">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48"/>
    <w:rsid w:val="000B67A8"/>
    <w:rsid w:val="00114940"/>
    <w:rsid w:val="003840E0"/>
    <w:rsid w:val="0064421E"/>
    <w:rsid w:val="006C7CBA"/>
    <w:rsid w:val="00992C48"/>
    <w:rsid w:val="00B434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CBA"/>
    <w:rPr>
      <w:color w:val="808080"/>
    </w:rPr>
  </w:style>
  <w:style w:type="paragraph" w:customStyle="1" w:styleId="2E71ABE9BBD87F458880FF398D0B1062">
    <w:name w:val="2E71ABE9BBD87F458880FF398D0B1062"/>
    <w:rsid w:val="006C7CBA"/>
  </w:style>
  <w:style w:type="paragraph" w:customStyle="1" w:styleId="0BB63A381575594C9E162F942F2CE9B3">
    <w:name w:val="0BB63A381575594C9E162F942F2CE9B3"/>
    <w:rsid w:val="006C7CBA"/>
  </w:style>
  <w:style w:type="paragraph" w:customStyle="1" w:styleId="E5C1C06F5C17854A885AE72C5CE9A9E5">
    <w:name w:val="E5C1C06F5C17854A885AE72C5CE9A9E5"/>
    <w:rsid w:val="006C7CBA"/>
  </w:style>
  <w:style w:type="paragraph" w:customStyle="1" w:styleId="99697B3B1ABE0A409A212AEA938E6E87">
    <w:name w:val="99697B3B1ABE0A409A212AEA938E6E87"/>
    <w:rsid w:val="006C7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go:docsCustomData xmlns:go="http://customooxmlschemas.google.com/" roundtripDataSignature="AMtx7miovE/GO93vGrGIJ85Ll9W7qCREvw==">AMUW2mWTS63wyyXPHIJ65vgEaY2+jydaodCsjukEN8oyN7oELxgbECT+9y/6dwHk6FknNV45qGW53NK/zUX1VlvkDTB7JEHYQPui03AIgDv9kO4Vl0sYxFztsfyt8JWPTCgBolDnlNJzyPlHpk6x4UsY4+6y9lVArQ==</go:docsCustomData>
</go:gDocsCustomXmlDataStorage>
</file>

<file path=customXml/itemProps1.xml><?xml version="1.0" encoding="utf-8"?>
<ds:datastoreItem xmlns:ds="http://schemas.openxmlformats.org/officeDocument/2006/customXml" ds:itemID="{F1C6E752-5D86-E54F-8699-A171C2E20B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icpres</dc:creator>
  <cp:lastModifiedBy>Microsoft Office User</cp:lastModifiedBy>
  <cp:revision>3</cp:revision>
  <dcterms:created xsi:type="dcterms:W3CDTF">2025-07-10T10:34:00Z</dcterms:created>
  <dcterms:modified xsi:type="dcterms:W3CDTF">2025-07-10T10:34:00Z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b2686f7b-f75a-3ad1-93f0-b05be12605c9</vt:lpwstr>
  </property>
  <property fmtid="{D5CDD505-2E9C-101B-9397-08002B2CF9AE}" pid="24" name="Mendeley Citation Style_1">
    <vt:lpwstr>http://www.zotero.org/styles/apa</vt:lpwstr>
  </property>
</Properties>
</file>